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E0BE" w14:textId="7329DC45" w:rsidR="006564A6" w:rsidRPr="006564A6" w:rsidRDefault="006564A6" w:rsidP="006564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</w:pPr>
      <w:proofErr w:type="spellStart"/>
      <w:r w:rsidRPr="006564A6"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  <w:t>Критерії</w:t>
      </w:r>
      <w:proofErr w:type="spellEnd"/>
      <w:r w:rsidRPr="006564A6"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  <w:t>оцінювання</w:t>
      </w:r>
      <w:proofErr w:type="spellEnd"/>
      <w:r w:rsidRPr="006564A6"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  <w:t>навчальних</w:t>
      </w:r>
      <w:proofErr w:type="spellEnd"/>
      <w:r w:rsidRPr="006564A6"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  <w:t>досягнень</w:t>
      </w:r>
      <w:proofErr w:type="spellEnd"/>
      <w:r w:rsidRPr="006564A6"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  <w:t>здобувачів</w:t>
      </w:r>
      <w:proofErr w:type="spellEnd"/>
      <w:r w:rsidRPr="006564A6"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  <w:t>освіти</w:t>
      </w:r>
      <w:proofErr w:type="spellEnd"/>
      <w:r w:rsidRPr="006564A6"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  <w:t xml:space="preserve"> з </w:t>
      </w:r>
      <w:proofErr w:type="spellStart"/>
      <w:r w:rsidRPr="006564A6"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  <w:t>фізичної</w:t>
      </w:r>
      <w:proofErr w:type="spellEnd"/>
      <w:r w:rsidRPr="006564A6"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  <w:t>культури</w:t>
      </w:r>
      <w:proofErr w:type="spellEnd"/>
    </w:p>
    <w:p w14:paraId="27F42A9E" w14:textId="77777777" w:rsidR="006564A6" w:rsidRPr="006564A6" w:rsidRDefault="006564A6" w:rsidP="006564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222222"/>
          <w:kern w:val="36"/>
          <w:sz w:val="40"/>
          <w:szCs w:val="40"/>
          <w:lang w:val="ru-UA" w:eastAsia="ru-UA"/>
        </w:rPr>
      </w:pPr>
    </w:p>
    <w:p w14:paraId="5080D04F" w14:textId="7AB785A5" w:rsidR="006564A6" w:rsidRPr="006564A6" w:rsidRDefault="006564A6" w:rsidP="006564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>
        <w:rPr>
          <w:rFonts w:eastAsia="Times New Roman" w:cs="Times New Roman"/>
          <w:color w:val="222222"/>
          <w:szCs w:val="28"/>
          <w:lang w:val="uk-UA" w:eastAsia="ru-UA"/>
        </w:rPr>
        <w:t xml:space="preserve">     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Відповідно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до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Інструкції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про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розподіл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учнів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групи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для занять на уроках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культури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затвердженної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наказом МОЗ та МОН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розподіляються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основну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підготовчу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та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спеціальну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медичні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групи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.</w:t>
      </w:r>
    </w:p>
    <w:p w14:paraId="78C44721" w14:textId="77777777" w:rsidR="006564A6" w:rsidRPr="006564A6" w:rsidRDefault="006564A6" w:rsidP="006564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Для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основної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медичної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групи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фізична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підготовка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проводиться в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повному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обсязі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згідно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з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навчальними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програмами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з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урахуванням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індивідуальних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особливостей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розвитку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дитини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.</w:t>
      </w:r>
    </w:p>
    <w:p w14:paraId="1CE9B46D" w14:textId="79D9923A" w:rsidR="006564A6" w:rsidRPr="006564A6" w:rsidRDefault="006564A6" w:rsidP="006564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>
        <w:rPr>
          <w:rFonts w:eastAsia="Times New Roman" w:cs="Times New Roman"/>
          <w:color w:val="222222"/>
          <w:szCs w:val="28"/>
          <w:lang w:val="uk-UA" w:eastAsia="ru-UA"/>
        </w:rPr>
        <w:t xml:space="preserve">     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які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за станом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здоров’я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віднесені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до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підготовчої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медичної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групи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відвідують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обов’язкові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уроки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культури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та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опановують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навчальний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матеріал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відповідно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до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вимог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програми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. Таким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учням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рекомендовано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поступове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збільшення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навантаження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без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здачі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нормативів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та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додаткові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заняття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у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групах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загальної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підготовки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.</w:t>
      </w:r>
    </w:p>
    <w:p w14:paraId="4CBB81C1" w14:textId="5D892B7A" w:rsidR="006564A6" w:rsidRPr="006564A6" w:rsidRDefault="006564A6" w:rsidP="006564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>
        <w:rPr>
          <w:rFonts w:eastAsia="Times New Roman" w:cs="Times New Roman"/>
          <w:color w:val="222222"/>
          <w:szCs w:val="28"/>
          <w:lang w:val="uk-UA" w:eastAsia="ru-UA"/>
        </w:rPr>
        <w:t xml:space="preserve">      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які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за станом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здоров’я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віднесені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до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спеціальної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медичної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групи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відвідують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обов’язкові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уроки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культури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але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виконують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корегувальні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вправи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і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вправи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для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загального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розвитку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які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їм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не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протипоказані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.</w:t>
      </w:r>
    </w:p>
    <w:p w14:paraId="506D9FE1" w14:textId="04A0D963" w:rsidR="006564A6" w:rsidRPr="006564A6" w:rsidRDefault="006564A6" w:rsidP="006564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>
        <w:rPr>
          <w:rFonts w:eastAsia="Times New Roman" w:cs="Times New Roman"/>
          <w:color w:val="222222"/>
          <w:szCs w:val="28"/>
          <w:lang w:val="uk-UA" w:eastAsia="ru-UA"/>
        </w:rPr>
        <w:t xml:space="preserve">     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незалежно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від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рівня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розвитку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та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медичної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групи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також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тимчасово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звільнені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від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навантажень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повинні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бути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обов’язково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присутніми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на уроках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культури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.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Допустиме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навантаження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для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учнів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які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за станом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здоров’я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належать до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підготовчої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та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спеціальної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медичних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груп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встановлює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учитель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культури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.</w:t>
      </w:r>
    </w:p>
    <w:p w14:paraId="189B619E" w14:textId="4B4985CF" w:rsidR="006564A6" w:rsidRPr="006564A6" w:rsidRDefault="006564A6" w:rsidP="006564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uk-UA" w:eastAsia="ru-UA"/>
        </w:rPr>
        <w:t xml:space="preserve">      </w:t>
      </w:r>
      <w:proofErr w:type="spellStart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Оцінювання</w:t>
      </w:r>
      <w:proofErr w:type="spellEnd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навчальних</w:t>
      </w:r>
      <w:proofErr w:type="spellEnd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досягнень</w:t>
      </w:r>
      <w:proofErr w:type="spellEnd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учнів</w:t>
      </w:r>
      <w:proofErr w:type="spellEnd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 xml:space="preserve"> на уроках </w:t>
      </w:r>
      <w:proofErr w:type="spellStart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фізичної</w:t>
      </w:r>
      <w:proofErr w:type="spellEnd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культури</w:t>
      </w:r>
      <w:proofErr w:type="spellEnd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може</w:t>
      </w:r>
      <w:proofErr w:type="spellEnd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здійснюватися</w:t>
      </w:r>
      <w:proofErr w:type="spellEnd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 xml:space="preserve"> за такими видами </w:t>
      </w:r>
      <w:proofErr w:type="spellStart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діяльності</w:t>
      </w:r>
      <w:proofErr w:type="spellEnd"/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:</w:t>
      </w:r>
    </w:p>
    <w:p w14:paraId="1BFCACF0" w14:textId="77777777" w:rsidR="006564A6" w:rsidRPr="006564A6" w:rsidRDefault="006564A6" w:rsidP="006564A6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Засвоєння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техніки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виконання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вправи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(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може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здійснюватися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окремо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від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прийому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нормативу).</w:t>
      </w:r>
    </w:p>
    <w:p w14:paraId="4783320D" w14:textId="77777777" w:rsidR="006564A6" w:rsidRPr="006564A6" w:rsidRDefault="006564A6" w:rsidP="006564A6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Виконання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нормативу (з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урахуванням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динаміки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особистого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результату).</w:t>
      </w:r>
    </w:p>
    <w:p w14:paraId="0F2405C7" w14:textId="77777777" w:rsidR="006564A6" w:rsidRPr="006564A6" w:rsidRDefault="006564A6" w:rsidP="006564A6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Виконання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завдань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під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час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проведення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уроку.</w:t>
      </w:r>
    </w:p>
    <w:p w14:paraId="73FE49BA" w14:textId="77777777" w:rsidR="006564A6" w:rsidRPr="006564A6" w:rsidRDefault="006564A6" w:rsidP="006564A6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Засвоєння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теоретико-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методичних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знань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.</w:t>
      </w:r>
    </w:p>
    <w:p w14:paraId="7D5F6BBD" w14:textId="77777777" w:rsidR="006564A6" w:rsidRPr="006564A6" w:rsidRDefault="006564A6" w:rsidP="006564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При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цьому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оцінка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за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виконання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нормативу не є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домінуючою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під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час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здійснення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тематичного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семестрового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чи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річного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оцінювання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.</w:t>
      </w:r>
    </w:p>
    <w:p w14:paraId="50B52593" w14:textId="77777777" w:rsidR="006564A6" w:rsidRPr="006564A6" w:rsidRDefault="006564A6" w:rsidP="006564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Для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оцінювання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розвитку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якостей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використовуються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орієнтовні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нормативи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передбачені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цією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програмою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та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нормативи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запроповановані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у кожному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модулі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по роках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вивчення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. Порядок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їх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проведення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визначає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вчитель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відповідно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до календарно-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тематичного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планування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.</w:t>
      </w:r>
    </w:p>
    <w:p w14:paraId="506F523E" w14:textId="77777777" w:rsidR="006564A6" w:rsidRPr="006564A6" w:rsidRDefault="006564A6" w:rsidP="006564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При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складанні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нормативу за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його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показником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визначають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рівень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досягнень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(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низький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середній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достатній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високий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), 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потім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за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технічними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показниками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виконання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рухової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дії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та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теоретичними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знаннями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виставляють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оцінку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в балах.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Критерії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оцінювання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досягнень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учнів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із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культури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затверджені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наказом МОН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України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.</w:t>
      </w:r>
    </w:p>
    <w:p w14:paraId="60D43D09" w14:textId="77777777" w:rsidR="006564A6" w:rsidRDefault="006564A6" w:rsidP="006564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</w:pPr>
    </w:p>
    <w:p w14:paraId="476119DC" w14:textId="77777777" w:rsidR="006564A6" w:rsidRDefault="006564A6" w:rsidP="006564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</w:pPr>
    </w:p>
    <w:p w14:paraId="59B2E632" w14:textId="493668D9" w:rsidR="006564A6" w:rsidRPr="006564A6" w:rsidRDefault="006564A6" w:rsidP="006564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lastRenderedPageBreak/>
        <w:t>Оцінюючи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навчальні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досягнення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учнів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з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фізичної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підготовленості, потрібно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дотримуватися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таких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ru-UA" w:eastAsia="ru-UA"/>
        </w:rPr>
        <w:t>вимог:</w:t>
      </w:r>
    </w:p>
    <w:p w14:paraId="3F35E58E" w14:textId="77777777" w:rsidR="006564A6" w:rsidRPr="006564A6" w:rsidRDefault="006564A6" w:rsidP="006564A6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нормативи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складають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основної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медичної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групи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які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на момент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прийняття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нормативу не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скаржаться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погане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самопочуття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та стан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здоров’я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.</w:t>
      </w:r>
    </w:p>
    <w:p w14:paraId="11B446D0" w14:textId="77777777" w:rsidR="006564A6" w:rsidRPr="006564A6" w:rsidRDefault="006564A6" w:rsidP="006564A6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Кожній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заліковій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вправі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передує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спеціальна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фізична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підготовка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(не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менше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як на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двох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заняттях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).</w:t>
      </w:r>
    </w:p>
    <w:p w14:paraId="4C0D6551" w14:textId="77777777" w:rsidR="006564A6" w:rsidRPr="006564A6" w:rsidRDefault="006564A6" w:rsidP="006564A6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Перед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складанням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нормативу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вчитель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проводить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розминку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після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—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відновлювальні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вправи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.</w:t>
      </w:r>
    </w:p>
    <w:p w14:paraId="38F4A067" w14:textId="77777777" w:rsidR="006564A6" w:rsidRPr="006564A6" w:rsidRDefault="006564A6" w:rsidP="006564A6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мають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можливість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перескласти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норматив на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визначеному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вчителем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занятті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.</w:t>
      </w:r>
    </w:p>
    <w:p w14:paraId="1BBA704E" w14:textId="77777777" w:rsidR="006564A6" w:rsidRPr="006564A6" w:rsidRDefault="006564A6" w:rsidP="006564A6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Учитель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зобов’язаний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забезпечити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безумовне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дотримання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правил і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виконання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вимог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щодо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безпеки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під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час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здачі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нормативів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. 6.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Оцінювання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досягнень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учнів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віднесених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до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підготовчої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групи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здійснюється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загальних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підставах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за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винятком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приймання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нормативів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.</w:t>
      </w:r>
    </w:p>
    <w:p w14:paraId="5A730E7E" w14:textId="53ECC2F2" w:rsidR="006564A6" w:rsidRPr="006564A6" w:rsidRDefault="006564A6" w:rsidP="006564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>
        <w:rPr>
          <w:rFonts w:eastAsia="Times New Roman" w:cs="Times New Roman"/>
          <w:color w:val="222222"/>
          <w:szCs w:val="28"/>
          <w:lang w:val="uk-UA" w:eastAsia="ru-UA"/>
        </w:rPr>
        <w:t xml:space="preserve">      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При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оцінюванні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досягнень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з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культури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також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враховуються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: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особисті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досягнення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школярів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протягом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року;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ступінь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активності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учнів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на уроках;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залучення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учнів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до занять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фізичною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культурою в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позаурочний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час; участь у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спортивних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змаганнях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усіх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рівнів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. На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основі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зазначених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показників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учителі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можуть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застосовувати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різноманітні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системи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нарахування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«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бонусних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»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балів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.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Наприклад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якщо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учень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(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учениця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)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викона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(в/ла)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залікову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вправу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певний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рівень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але при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цьому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його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(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її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)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особистий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результат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виконання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цієї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вправи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поліпшився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порівняно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з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попереднім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показником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учитель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може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виставити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оцінку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на 1–2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бали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вищу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за ту, яка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передбачається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навчальними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нормативами.</w:t>
      </w:r>
    </w:p>
    <w:p w14:paraId="0AFFCD6C" w14:textId="7F821DD5" w:rsidR="006564A6" w:rsidRPr="006564A6" w:rsidRDefault="006564A6" w:rsidP="006564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>
        <w:rPr>
          <w:rFonts w:eastAsia="Times New Roman" w:cs="Times New Roman"/>
          <w:color w:val="222222"/>
          <w:szCs w:val="28"/>
          <w:lang w:val="uk-UA" w:eastAsia="ru-UA"/>
        </w:rPr>
        <w:t xml:space="preserve">      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Невиконання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нормативів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з причин,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незалежних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від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непропорційний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фізичний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розвиток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пропуски занять з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поважних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причин, не є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підставою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для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зниження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підсумкової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оцінки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успішності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.</w:t>
      </w: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792"/>
        <w:gridCol w:w="7702"/>
      </w:tblGrid>
      <w:tr w:rsidR="006564A6" w:rsidRPr="006564A6" w14:paraId="4F757E36" w14:textId="77777777" w:rsidTr="006564A6">
        <w:trPr>
          <w:trHeight w:val="826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784CF4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</w:pPr>
            <w:proofErr w:type="spellStart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>Рівні</w:t>
            </w:r>
            <w:proofErr w:type="spellEnd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>навчальних</w:t>
            </w:r>
            <w:proofErr w:type="spellEnd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>досягнень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2CE045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A47050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</w:pPr>
            <w:proofErr w:type="spellStart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>Загальні</w:t>
            </w:r>
            <w:proofErr w:type="spellEnd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>критерії</w:t>
            </w:r>
            <w:proofErr w:type="spellEnd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>оцінювання</w:t>
            </w:r>
            <w:proofErr w:type="spellEnd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>навчальних</w:t>
            </w:r>
            <w:proofErr w:type="spellEnd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>досягнень</w:t>
            </w:r>
            <w:proofErr w:type="spellEnd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b/>
                <w:bCs/>
                <w:sz w:val="24"/>
                <w:szCs w:val="24"/>
                <w:lang w:val="ru-UA" w:eastAsia="ru-UA"/>
              </w:rPr>
              <w:t>учнів</w:t>
            </w:r>
            <w:proofErr w:type="spellEnd"/>
          </w:p>
        </w:tc>
      </w:tr>
      <w:tr w:rsidR="006564A6" w:rsidRPr="006564A6" w14:paraId="400CCB7C" w14:textId="77777777" w:rsidTr="006564A6">
        <w:trPr>
          <w:trHeight w:val="675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77AC97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I.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2507EE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ADFE97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Учні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можуть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розпізнавати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деякі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об’єкти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вивчення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називають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їх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(на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побутовому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рівні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</w:tr>
      <w:tr w:rsidR="006564A6" w:rsidRPr="006564A6" w14:paraId="65FE6327" w14:textId="77777777" w:rsidTr="006564A6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E72BB7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84D2E3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9B2C47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Учні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описують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незначну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частину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навчального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матеріалу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частково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розпізнають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інвентар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обладнання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проведення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занять</w:t>
            </w:r>
          </w:p>
        </w:tc>
      </w:tr>
      <w:tr w:rsidR="006564A6" w:rsidRPr="006564A6" w14:paraId="38CC4734" w14:textId="77777777" w:rsidTr="006564A6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2EB452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C88FDE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442F03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Учні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мають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фрагментарні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уявлення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з предмета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вивчення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; з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допомогою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вчителя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виконують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елементарні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фізичні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вправи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використовують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за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призначенням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навчальний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інвентар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обладнання</w:t>
            </w:r>
            <w:proofErr w:type="spellEnd"/>
          </w:p>
        </w:tc>
      </w:tr>
      <w:tr w:rsidR="006564A6" w:rsidRPr="006564A6" w14:paraId="7331C23B" w14:textId="77777777" w:rsidTr="006564A6">
        <w:trPr>
          <w:trHeight w:val="67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D469D0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II.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EC14D2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E7A857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Учні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знають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окремі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відомості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стосуються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фізичних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вправ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виконують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елементарні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технічні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елементи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вправ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за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зразком</w:t>
            </w:r>
            <w:proofErr w:type="spellEnd"/>
          </w:p>
        </w:tc>
      </w:tr>
      <w:tr w:rsidR="006564A6" w:rsidRPr="006564A6" w14:paraId="5B81AFD2" w14:textId="77777777" w:rsidTr="006564A6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F54D37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A01385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19954E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UA" w:eastAsia="ru-UA"/>
              </w:rPr>
            </w:pP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Учні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відтворюють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навчальний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матеріал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необхідний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для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виконання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фізичних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вправ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з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допомогою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вчителя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виконують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більшість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технічних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елементів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вправ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з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недоліками</w:t>
            </w:r>
            <w:proofErr w:type="spellEnd"/>
          </w:p>
        </w:tc>
      </w:tr>
      <w:tr w:rsidR="006564A6" w:rsidRPr="006564A6" w14:paraId="50245250" w14:textId="77777777" w:rsidTr="006564A6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42E701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A4D16E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03280C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UA" w:eastAsia="ru-UA"/>
              </w:rPr>
            </w:pP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Учні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самостійно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відтворюють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значну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частину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навчального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матеріалу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необхідного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для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виконання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фізичних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вправ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виконують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більшість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запропонованих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вправ</w:t>
            </w:r>
            <w:proofErr w:type="spellEnd"/>
          </w:p>
        </w:tc>
      </w:tr>
      <w:tr w:rsidR="006564A6" w:rsidRPr="006564A6" w14:paraId="42765B65" w14:textId="77777777" w:rsidTr="006564A6">
        <w:trPr>
          <w:trHeight w:val="193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76ADF1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III.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FBB917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F86638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UA" w:eastAsia="ru-UA"/>
              </w:rPr>
            </w:pP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Учні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самостійно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і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логічно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відтворюють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фактичний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і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теоретичний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матеріал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необхідний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для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виконання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практичних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завдань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частково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контролюють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власні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навчальні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дії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вправи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виконують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з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окремими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незначними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відхиленнями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в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техніці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за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показниками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кінематичних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динамічних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або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ритмічних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характеристик (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недосконала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міжмязева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координація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недостатня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злитність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виконання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незначна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скутість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рухів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тощо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); в основному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виконують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навчальні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завдання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під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час уроку</w:t>
            </w:r>
          </w:p>
        </w:tc>
      </w:tr>
      <w:tr w:rsidR="006564A6" w:rsidRPr="006564A6" w14:paraId="427A31FA" w14:textId="77777777" w:rsidTr="006564A6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9CFE7E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DC0896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4209AE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UA" w:eastAsia="ru-UA"/>
              </w:rPr>
            </w:pP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Учні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виявляють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розуміння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навчального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матеріалу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наводять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приклади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намагаються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аналізувати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встановлювати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найсуттєвіші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зв’язки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і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залежності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між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фізичними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вправами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та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їх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впливом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на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організм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використовують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набуті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знання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і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уміння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в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стандартних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ситуаціях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вправи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виконують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відповідно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до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вимог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кінематичних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динамічних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та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ритмічних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характеристик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техніки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(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вільно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легко,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невимушено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) у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стандартних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сприятливих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умовах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їх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виконання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виконує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більшість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навчальних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завдань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під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час уроку</w:t>
            </w:r>
          </w:p>
        </w:tc>
      </w:tr>
      <w:tr w:rsidR="006564A6" w:rsidRPr="006564A6" w14:paraId="09B98EF2" w14:textId="77777777" w:rsidTr="006564A6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DC0E86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260830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150DA6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UA" w:eastAsia="ru-UA"/>
              </w:rPr>
            </w:pP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Учні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володіють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навчальним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матеріалом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і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реалізовують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свої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знання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та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вміння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в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практичній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діяльності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можуть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аналізувати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і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систематизувати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інформацію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щодо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впливу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фізичних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вправ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на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організм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вправи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виконують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відповідно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до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вимог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кінематичних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динамічних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та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ритмічних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характеристик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техніки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(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вільно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легко,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невимушено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) у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прогнозовано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варіативних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умовах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виконують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всі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навчальні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завдання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під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час уроку</w:t>
            </w:r>
          </w:p>
        </w:tc>
      </w:tr>
      <w:tr w:rsidR="006564A6" w:rsidRPr="006564A6" w14:paraId="3EDFF135" w14:textId="77777777" w:rsidTr="006564A6">
        <w:trPr>
          <w:trHeight w:val="178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AD9449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lastRenderedPageBreak/>
              <w:t xml:space="preserve">IV.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1E7B1A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657255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UA" w:eastAsia="ru-UA"/>
              </w:rPr>
            </w:pP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Учні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володіють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глибокими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знаннями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та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уміннями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і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застосовують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їх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у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нестандартних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ситуаціях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беруть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активну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участь в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розробленні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та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застосуванні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комплексів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вправ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спрямованих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на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розвиток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фізичних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якостей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вправи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виконують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відповідно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до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вимог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кінематичних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динамічних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та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ритмічних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характеристик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техніки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(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вільно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легко,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невимушено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) у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непрогнозовано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варіативних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умовах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старанно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виконують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всі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навчальні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завдання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під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час уроку</w:t>
            </w:r>
          </w:p>
        </w:tc>
      </w:tr>
      <w:tr w:rsidR="006564A6" w:rsidRPr="006564A6" w14:paraId="6C70C788" w14:textId="77777777" w:rsidTr="006564A6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355F4A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9555FB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102539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UA" w:eastAsia="ru-UA"/>
              </w:rPr>
            </w:pP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Учні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володіють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гнучкими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знаннями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і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навичками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в межах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вимог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навчальної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програми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аргументовано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використовують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їх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у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нестандартних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ситуаціях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самостійно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розробляють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комплекси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вправ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спрямованих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на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розвиток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фізичних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якостей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вправи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виконують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ефективно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на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фоні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втоми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; при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виконанні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навчальних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завдань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проявляють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позитивні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лідерські</w:t>
            </w:r>
            <w:proofErr w:type="spellEnd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Cs w:val="28"/>
                <w:lang w:val="ru-UA" w:eastAsia="ru-UA"/>
              </w:rPr>
              <w:t>якості</w:t>
            </w:r>
            <w:proofErr w:type="spellEnd"/>
          </w:p>
        </w:tc>
      </w:tr>
      <w:tr w:rsidR="006564A6" w:rsidRPr="006564A6" w14:paraId="3CA711E2" w14:textId="77777777" w:rsidTr="006564A6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A3A5B7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193A51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DF114A" w14:textId="77777777" w:rsidR="006564A6" w:rsidRPr="006564A6" w:rsidRDefault="006564A6" w:rsidP="006564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Учні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мають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системні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знання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навички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з предмета,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свідомо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використовують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їх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, у тому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числі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, у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проблемних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ситуаціях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самостійно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розробляють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комплекси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вправ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спрямованих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розвиток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фізичних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якостей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забезпечують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їх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якісне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виконання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вправи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виконують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ефективно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змагальних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умовах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можуть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регулювати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процес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виконання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навчальних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завдань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відповідно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індивідуальних</w:t>
            </w:r>
            <w:proofErr w:type="spellEnd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 xml:space="preserve"> потреб </w:t>
            </w:r>
            <w:proofErr w:type="spellStart"/>
            <w:r w:rsidRPr="006564A6">
              <w:rPr>
                <w:rFonts w:eastAsia="Times New Roman" w:cs="Times New Roman"/>
                <w:sz w:val="24"/>
                <w:szCs w:val="24"/>
                <w:lang w:val="ru-UA" w:eastAsia="ru-UA"/>
              </w:rPr>
              <w:t>організму</w:t>
            </w:r>
            <w:proofErr w:type="spellEnd"/>
          </w:p>
        </w:tc>
      </w:tr>
    </w:tbl>
    <w:p w14:paraId="1461C4B0" w14:textId="77777777" w:rsidR="006564A6" w:rsidRPr="006564A6" w:rsidRDefault="006564A6" w:rsidP="006564A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</w:pP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uk-UA" w:eastAsia="ru-UA"/>
        </w:rPr>
        <w:t xml:space="preserve">       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На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сучасному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етапі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, з метою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формування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позитивного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ставлення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учнів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до занять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фізичною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культурою та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підвищення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рівня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їх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рухової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активності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оцінювання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навчальних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досягнень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з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фізичної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культури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має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здійснюватися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в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особистісно-зорієнтованому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аспекті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. В основу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особистісно-зорієнтованого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оцінювання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покладаються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: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особисті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досягнення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школярів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протязі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навчального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року; активна робота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учнів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на уроках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фізичної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культури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;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залучення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учнів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до занять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фізичною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культурою в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позаурочний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час; участь у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змаганнях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всіх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рівнів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. </w:t>
      </w:r>
    </w:p>
    <w:p w14:paraId="7065E84F" w14:textId="610812C5" w:rsidR="006564A6" w:rsidRPr="006564A6" w:rsidRDefault="006564A6" w:rsidP="006564A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uk-UA" w:eastAsia="ru-UA"/>
        </w:rPr>
        <w:t xml:space="preserve">           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На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основі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зазначених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показників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вчителям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рекомендується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застосовувати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різноманітні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системи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нарахування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«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бонусних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»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балів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.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Зазначені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системи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корекції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оцінювання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мають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погоджуватися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педагогічною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радою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школи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.</w:t>
      </w:r>
    </w:p>
    <w:p w14:paraId="108E1D68" w14:textId="77777777" w:rsidR="006564A6" w:rsidRPr="006564A6" w:rsidRDefault="006564A6" w:rsidP="006564A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час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оцінювання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необхідно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:  </w:t>
      </w:r>
    </w:p>
    <w:p w14:paraId="370AD841" w14:textId="77777777" w:rsidR="006564A6" w:rsidRPr="006564A6" w:rsidRDefault="006564A6" w:rsidP="006564A6">
      <w:pPr>
        <w:numPr>
          <w:ilvl w:val="0"/>
          <w:numId w:val="3"/>
        </w:numPr>
        <w:shd w:val="clear" w:color="auto" w:fill="FFFFFF"/>
        <w:spacing w:after="0" w:line="276" w:lineRule="auto"/>
        <w:ind w:left="1470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здійснювати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індивідуальний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підхід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тобто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створювати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для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умови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які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відповідають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особливостям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його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розвитку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рівню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фізичного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підготовленості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стану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здоров’я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;</w:t>
      </w:r>
    </w:p>
    <w:p w14:paraId="3616F54E" w14:textId="77777777" w:rsidR="006564A6" w:rsidRPr="006564A6" w:rsidRDefault="006564A6" w:rsidP="006564A6">
      <w:pPr>
        <w:numPr>
          <w:ilvl w:val="0"/>
          <w:numId w:val="3"/>
        </w:numPr>
        <w:shd w:val="clear" w:color="auto" w:fill="FFFFFF"/>
        <w:spacing w:after="0" w:line="276" w:lineRule="auto"/>
        <w:ind w:left="1470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конкретизувати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завдання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,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визначене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змістом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даного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уроку, за яке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буде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оцінено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;</w:t>
      </w:r>
    </w:p>
    <w:p w14:paraId="29CD73F3" w14:textId="77777777" w:rsidR="006564A6" w:rsidRPr="006564A6" w:rsidRDefault="006564A6" w:rsidP="006564A6">
      <w:pPr>
        <w:numPr>
          <w:ilvl w:val="0"/>
          <w:numId w:val="3"/>
        </w:numPr>
        <w:shd w:val="clear" w:color="auto" w:fill="FFFFFF"/>
        <w:spacing w:after="0" w:line="276" w:lineRule="auto"/>
        <w:ind w:left="1470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lastRenderedPageBreak/>
        <w:t>застосовувати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гласність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оцінки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(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своєчасно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інформувати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про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оцінку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з коротким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аналізом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виконання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учнем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рухової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lang w:val="ru-UA" w:eastAsia="ru-UA"/>
        </w:rPr>
        <w:t>дії</w:t>
      </w:r>
      <w:proofErr w:type="spellEnd"/>
      <w:r w:rsidRPr="006564A6">
        <w:rPr>
          <w:rFonts w:eastAsia="Times New Roman" w:cs="Times New Roman"/>
          <w:color w:val="222222"/>
          <w:szCs w:val="28"/>
          <w:lang w:val="ru-UA" w:eastAsia="ru-UA"/>
        </w:rPr>
        <w:t>).</w:t>
      </w:r>
    </w:p>
    <w:p w14:paraId="49E5F71C" w14:textId="500F81B1" w:rsidR="006564A6" w:rsidRPr="006564A6" w:rsidRDefault="006564A6" w:rsidP="006564A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>
        <w:rPr>
          <w:rFonts w:eastAsia="Times New Roman" w:cs="Times New Roman"/>
          <w:b/>
          <w:bCs/>
          <w:color w:val="222222"/>
          <w:szCs w:val="28"/>
          <w:bdr w:val="none" w:sz="0" w:space="0" w:color="auto" w:frame="1"/>
          <w:lang w:val="uk-UA" w:eastAsia="ru-UA"/>
        </w:rPr>
        <w:t xml:space="preserve">           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Одним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із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критеріїв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оцінювання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учнів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усіх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медичних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груп (основної, підготовчої, спеціальної) має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бути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їхня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обов’язкова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присутність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на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уроках (не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менше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ніж 75% часу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від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усієї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тривалості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навчання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упродовж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семестру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та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навчального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року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за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винятком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відсутності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через</w:t>
      </w:r>
      <w:r w:rsidRPr="006564A6">
        <w:rPr>
          <w:rFonts w:eastAsia="Times New Roman" w:cs="Times New Roman"/>
          <w:color w:val="222222"/>
          <w:szCs w:val="28"/>
          <w:lang w:val="ru-UA" w:eastAsia="ru-UA"/>
        </w:rPr>
        <w:t> 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хворобу).</w:t>
      </w:r>
    </w:p>
    <w:p w14:paraId="1645D21A" w14:textId="311DD280" w:rsidR="006564A6" w:rsidRPr="006564A6" w:rsidRDefault="006564A6" w:rsidP="006564A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Times New Roman"/>
          <w:color w:val="222222"/>
          <w:szCs w:val="28"/>
          <w:lang w:val="ru-UA" w:eastAsia="ru-UA"/>
        </w:rPr>
      </w:pP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uk-UA" w:eastAsia="ru-UA"/>
        </w:rPr>
        <w:t xml:space="preserve">      </w:t>
      </w:r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У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разі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невідповідності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рівня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навчальних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досягнень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учня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(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учениці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)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цим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Критеріям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позначається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 xml:space="preserve"> «не </w:t>
      </w:r>
      <w:proofErr w:type="spellStart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атестований</w:t>
      </w:r>
      <w:proofErr w:type="spellEnd"/>
      <w:r w:rsidRPr="006564A6">
        <w:rPr>
          <w:rFonts w:eastAsia="Times New Roman" w:cs="Times New Roman"/>
          <w:color w:val="222222"/>
          <w:szCs w:val="28"/>
          <w:bdr w:val="none" w:sz="0" w:space="0" w:color="auto" w:frame="1"/>
          <w:lang w:val="ru-UA" w:eastAsia="ru-UA"/>
        </w:rPr>
        <w:t>»</w:t>
      </w:r>
    </w:p>
    <w:p w14:paraId="73C50E95" w14:textId="77777777" w:rsidR="008F40B1" w:rsidRPr="006564A6" w:rsidRDefault="008F40B1" w:rsidP="006564A6">
      <w:pPr>
        <w:spacing w:line="276" w:lineRule="auto"/>
        <w:jc w:val="both"/>
        <w:rPr>
          <w:rFonts w:cs="Times New Roman"/>
          <w:szCs w:val="28"/>
          <w:lang w:val="ru-UA"/>
        </w:rPr>
      </w:pPr>
    </w:p>
    <w:sectPr w:rsidR="008F40B1" w:rsidRPr="006564A6" w:rsidSect="006564A6">
      <w:pgSz w:w="11906" w:h="16838"/>
      <w:pgMar w:top="1134" w:right="707" w:bottom="1276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29C"/>
    <w:multiLevelType w:val="multilevel"/>
    <w:tmpl w:val="8AEA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C6402"/>
    <w:multiLevelType w:val="multilevel"/>
    <w:tmpl w:val="D8F6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B42AB"/>
    <w:multiLevelType w:val="multilevel"/>
    <w:tmpl w:val="B21C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693820">
    <w:abstractNumId w:val="1"/>
  </w:num>
  <w:num w:numId="2" w16cid:durableId="1553686841">
    <w:abstractNumId w:val="0"/>
  </w:num>
  <w:num w:numId="3" w16cid:durableId="47418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49"/>
    <w:rsid w:val="006564A6"/>
    <w:rsid w:val="008F40B1"/>
    <w:rsid w:val="00B3588E"/>
    <w:rsid w:val="00C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1247"/>
  <w15:chartTrackingRefBased/>
  <w15:docId w15:val="{40590514-7AF1-4904-BF6A-C0C2BED1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66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2023-01-23T07:38:00Z</dcterms:created>
  <dcterms:modified xsi:type="dcterms:W3CDTF">2023-01-23T07:42:00Z</dcterms:modified>
</cp:coreProperties>
</file>