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36E2" w14:textId="77777777" w:rsidR="00FC3661" w:rsidRPr="00FC3661" w:rsidRDefault="00FC3661" w:rsidP="00FC3661">
      <w:pPr>
        <w:shd w:val="clear" w:color="auto" w:fill="FFFFFF"/>
        <w:spacing w:after="0" w:line="270" w:lineRule="atLeast"/>
        <w:jc w:val="right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Додаток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листа МОН</w:t>
      </w:r>
      <w:r w:rsidRPr="00FC3661">
        <w:rPr>
          <w:rFonts w:eastAsia="Times New Roman" w:cs="Times New Roman"/>
          <w:color w:val="000000"/>
          <w:szCs w:val="28"/>
          <w:lang w:eastAsia="ru-UA"/>
        </w:rPr>
        <w:br/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27.07.2022 №1/8507-22</w:t>
      </w:r>
    </w:p>
    <w:p w14:paraId="2AAF5079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освітньої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діяльності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br/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за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основними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напрямами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</w:p>
    <w:p w14:paraId="22AEF9AA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Еколого-натуралістичний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</w:p>
    <w:p w14:paraId="2DACC214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заходами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еколого-натуралістичного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охоплено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понад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350,5 тис.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350 580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осіб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еколого-натуралістичним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центром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71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масовий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очного-заочному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форматі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79E5281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Зокрема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травні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2022 р.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школярі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представили 5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проєктів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міжнародному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етапі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віртуального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конкурсу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Regeneron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ISEF 2022 (США)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отримала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два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призових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IV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FD00583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червні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2022 р. команда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складі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18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(14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проєктів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виборола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5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бронзових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3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срібних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4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золотих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2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платинові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медалі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світовому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фіналі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конкурсу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комп’ютерних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проектів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«INFOMATRIX – 2022» (Мексика).</w:t>
      </w:r>
    </w:p>
    <w:p w14:paraId="1A706CF3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Вперше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року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Юннатівську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академію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землеробства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пермакультури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зліт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гідрометеорологів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зліт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тераріумістів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виставка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досягнень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натуралістів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Виставковий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павільйон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НЕНЦ» (250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конкурс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есе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патріотично-громадянської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тематики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Єднанням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сильні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!» (200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бліц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-конкурс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ескізів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муралів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«Все буде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!» (450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.).</w:t>
      </w:r>
    </w:p>
    <w:p w14:paraId="66107194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Створено Net-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art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віртуального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музею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злочинів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росія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розгорнутої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воєнної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агресії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суверенної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FE229A9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Розроблено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наскрізну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оздоровчого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Основи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безпеки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життєдіяльності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умовах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бойових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неї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42650BA4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Пріоритети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діяльності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еколого-натуралістичного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наступний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начальний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рік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397C64DA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оновлення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змісту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еколого-натуралістичного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частині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надання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переваги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інтегрованим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курсам,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мають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релевантний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умовах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контент, 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також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адаптація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запити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умовах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сьогодення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;</w:t>
      </w:r>
    </w:p>
    <w:p w14:paraId="7435C39A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запровадження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дослідницького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підходу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проєктних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технологій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процесі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як основного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інструменту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екологічної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компетентності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здобувачів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;</w:t>
      </w:r>
    </w:p>
    <w:p w14:paraId="4D9DE4EE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застосовування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цікавих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майстер-класів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фотопленерів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віртуальних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квестів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аграрного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дослідництва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>екомоніторинуг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гейміфікації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віртуальних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подорожі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екскурсій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;</w:t>
      </w:r>
    </w:p>
    <w:p w14:paraId="3D644D36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робота з онлайн-ресурсами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телеграм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-канали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НЕНЦ» і «НЕНЦ МОН PRO», онлайн-платформа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Природничої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школи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тощо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);</w:t>
      </w:r>
    </w:p>
    <w:p w14:paraId="4BF2E6C9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створення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зоохостів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флорохостелів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тварин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рослин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при закладах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;</w:t>
      </w:r>
    </w:p>
    <w:p w14:paraId="408C8283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залучення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разом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батьками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доглядом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домашніх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тварин,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втратили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своїх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господарів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час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воєнних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Час, проведений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рослинами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тваринами,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відволікає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пережитого;</w:t>
      </w:r>
    </w:p>
    <w:p w14:paraId="6977BF18" w14:textId="77777777" w:rsidR="00FC3661" w:rsidRPr="00FC3661" w:rsidRDefault="00FC3661" w:rsidP="00FC3661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створення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умов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професійного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працівників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психолого-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педагогічних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змішаному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форматі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);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тренінгова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діяльність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курси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підвищення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кваліфікації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профільні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конференції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семінари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З 2023 року НЕНЦ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відновлює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циклу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тренінгів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31EADDF3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створення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ефективного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середовища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закладах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еколого-натуралістичного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умовах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обмежень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—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часових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просторових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психологічних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ресурсних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тощо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можна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користуватися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"https://nenc.gov.ua/wp-content/uploads/2020/11/2022-07-118.pdf"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A51922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Цікаві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(онлайн-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заняття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здобувачів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Telegram-каналі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назвою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hyperlink r:id="rId5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«</w:t>
        </w:r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Дистанційка</w:t>
        </w:r>
        <w:proofErr w:type="spellEnd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НЕНЦ»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466020E8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еколого-натуралістичного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можна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знайти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посиланням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70DB361A" w14:textId="77777777" w:rsidR="00FC3661" w:rsidRPr="00FC3661" w:rsidRDefault="00FC3661" w:rsidP="00FC3661">
      <w:pPr>
        <w:numPr>
          <w:ilvl w:val="0"/>
          <w:numId w:val="2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6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https://nenc.gov.ua/wp-content/uploads/2015/01/progr-2018.pdf</w:t>
        </w:r>
      </w:hyperlink>
    </w:p>
    <w:p w14:paraId="24B76AC6" w14:textId="77777777" w:rsidR="00FC3661" w:rsidRPr="00FC3661" w:rsidRDefault="00FC3661" w:rsidP="00FC3661">
      <w:pPr>
        <w:numPr>
          <w:ilvl w:val="0"/>
          <w:numId w:val="2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7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https://nenc.gov.ua/wp-content/uploads/2015/01/prog-2018.1.pdf</w:t>
        </w:r>
      </w:hyperlink>
    </w:p>
    <w:p w14:paraId="2B87F3FD" w14:textId="77777777" w:rsidR="00FC3661" w:rsidRPr="00FC3661" w:rsidRDefault="00FC3661" w:rsidP="00FC3661">
      <w:pPr>
        <w:numPr>
          <w:ilvl w:val="0"/>
          <w:numId w:val="3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8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https://nenc.gov.ua/wp-content/uploads/2015/01/programms1.pdf</w:t>
        </w:r>
      </w:hyperlink>
    </w:p>
    <w:p w14:paraId="19A80462" w14:textId="77777777" w:rsidR="00FC3661" w:rsidRPr="00FC3661" w:rsidRDefault="00FC3661" w:rsidP="00FC3661">
      <w:pPr>
        <w:numPr>
          <w:ilvl w:val="0"/>
          <w:numId w:val="3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9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https://nenc.gov.ua/wp-content/uploads/2015/01/programms.pdf</w:t>
        </w:r>
      </w:hyperlink>
    </w:p>
    <w:p w14:paraId="5DBCE46A" w14:textId="77777777" w:rsidR="00FC3661" w:rsidRPr="00FC3661" w:rsidRDefault="00FC3661" w:rsidP="00FC3661">
      <w:pPr>
        <w:numPr>
          <w:ilvl w:val="0"/>
          <w:numId w:val="3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0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https://nenc.gov.ua/wp-content/uploads/2015/01/PROG%D0%BC%D0%B5%D1%82%D0%BE%D0%B4.pdf</w:t>
        </w:r>
      </w:hyperlink>
    </w:p>
    <w:p w14:paraId="329394EB" w14:textId="77777777" w:rsidR="00FC3661" w:rsidRPr="00FC3661" w:rsidRDefault="00FC3661" w:rsidP="00FC3661">
      <w:pPr>
        <w:numPr>
          <w:ilvl w:val="0"/>
          <w:numId w:val="3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1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https://nenc.gov.ua/wp-content/uploads/2021/08/zbirka2021-1.pdf</w:t>
        </w:r>
      </w:hyperlink>
    </w:p>
    <w:p w14:paraId="62C4D01D" w14:textId="77777777" w:rsidR="00FC3661" w:rsidRPr="00FC3661" w:rsidRDefault="00FC3661" w:rsidP="00FC3661">
      <w:pPr>
        <w:numPr>
          <w:ilvl w:val="0"/>
          <w:numId w:val="3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2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https://nenc.gov.ua/wp-content/uploads/2015/01/prog_Zvedenyuk.pdf</w:t>
        </w:r>
      </w:hyperlink>
    </w:p>
    <w:p w14:paraId="3370D316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Цикл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лекторіїв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здобувачів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екологічний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біологічний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агрономічний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):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Еко-абетка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НЕНЦ»,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Лекторій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дисципліни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Загальна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біологія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», «Цикл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лекцій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дисципліни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Біологія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людини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віртуальні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виставки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віртуальні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екскурсії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ртозміщено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"https://www.youtube.com/channel/UCM3MDFAAO9oT8PdcxxnuuQg"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Youtube-каналі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НЕНЦ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3024F37" w14:textId="77777777" w:rsidR="002674E6" w:rsidRDefault="002674E6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</w:pPr>
    </w:p>
    <w:p w14:paraId="7922C0C3" w14:textId="77777777" w:rsidR="002674E6" w:rsidRDefault="002674E6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</w:pPr>
    </w:p>
    <w:p w14:paraId="0A5EB1B6" w14:textId="6AA5E3D8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lastRenderedPageBreak/>
        <w:t>Дослідницько-експериментальний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</w:p>
    <w:p w14:paraId="6DD447DD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Незважаючи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складну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ситуацію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з метою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пошуку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виявлення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підтримки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талановитих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обдарованих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понад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120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характеру (20 тис.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Організатором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координатором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є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центр «Мала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академія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наук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(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далі</w:t>
      </w:r>
      <w:proofErr w:type="spellEnd"/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- НЦ «МАНУ»).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-члени МАН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взяли участь в 10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міжнародних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заходах (183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03D5E4B2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форматі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(в асинхронному та синхронному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режимі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ІІІ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етап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конкурсу-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захисту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науково-дослідницьких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робіт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учнів-членів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Малої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академії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наук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більше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1500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досліджень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FB33A6F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Успішно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літні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школи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(17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шкіл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понад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1400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9D58FE3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Зокрема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НЦ «МАНУ»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спільно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західними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територіальними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відділеннями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МАН провели 7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літніх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шкіл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очному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форматі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взяли участь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понад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420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70FDCFF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НЦ «МАНУ»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впроваджує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впроваджувати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підходи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професійного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педагогічних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працівників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Проведено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більше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ніж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40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семінарів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тренінгів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інтенсивів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спецкурсів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предметних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загально-професійних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компетентностей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понад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6 000 </w:t>
      </w:r>
      <w:proofErr w:type="spellStart"/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)</w:t>
      </w:r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професійного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допомоги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процесу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час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"https://man.gov.ua/educators"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покликанням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де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передбачені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новаторські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актуальні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заходи за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темами і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форматах.</w:t>
      </w:r>
    </w:p>
    <w:p w14:paraId="541FB156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надання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доступу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якісного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контенту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оновлено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сайт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центру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малої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академії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наук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(https://man.gov.ua/) та онлайн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платформи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(http://platform.man.gov.ua/), де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текстові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відео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- й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аудіоматеріали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EE3071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Мала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академія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наук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докладає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значних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зусиль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задоволення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потреб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сучасної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продиктованих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вимогами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часу (STEM,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хімія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біологія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IT,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тощо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заходами,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спрямованими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розвиток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особистості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базоване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цінностях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них: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лекторії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дослідницько-експериментальні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курси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навчально-тренінгові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заняття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школи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циклу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природничих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гуманітарних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, наук, STEM,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"https://www.facebook.com/it.school.man/"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ІТ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проводяться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базі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просторів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НЦ «МАНУ»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"https://www.facebook.com/exlab.man/"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лабораторії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хіміко-біологічних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експериментальних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досліджень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ExLab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 і </w:t>
      </w:r>
      <w:hyperlink r:id="rId13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STEM-</w:t>
        </w:r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лабораторії</w:t>
        </w:r>
        <w:proofErr w:type="spellEnd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МАНЛаб</w:t>
        </w:r>
        <w:proofErr w:type="spellEnd"/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;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короткі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курси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середньотермінові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поглибленого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вивчення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окремих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дисциплін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воркшопи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дослідницьких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компетентностей,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"https://www.facebook.com/AgentuZmin/"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громадянських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компетентностей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 й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культурної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дипломатії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,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"https://www.facebook.com/UFincubator/"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підприємництва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,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"https://www.facebook.com/ca.lab.man/"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комунікативних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навиків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і креативного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мислення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;</w:t>
      </w:r>
    </w:p>
    <w:p w14:paraId="46939E79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Слідкувати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анонсами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новинами НЦ “МАНУ”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можна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також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соціальних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>мережах: </w:t>
      </w:r>
      <w:hyperlink r:id="rId14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https://www.facebook.com/JAS.Ukraine/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, </w:t>
      </w:r>
      <w:hyperlink r:id="rId15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https://www.instagram.com/jas.ukraine/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28336CBD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Навчально-методичні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в тому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числі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дослідницько-експериментальним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доступі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"https://man.gov.ua/educators/materials"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Зокрема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дослідницько-експериментального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посиланнями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57DF4DE6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1. 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"https://man-squidex-t2djr.ondigitalocean.app/api/assets/man/f897a67e-dca8-4cc9-a338-0adf63bbfde3/"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Філософія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суспільствознавство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2CBC5616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2. 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"https://man-squidex-t2djr.ondigitalocean.app/api/assets/man/03bfc723-57c7-4f45-89fb-c60463e00ad1/"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Математика.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Фізика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астрономія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03F4230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3. 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"https://man-squidex-t2djr.ondigitalocean.app/api/assets/man/65b5922e-ad9a-44f7-8e24-5dc22e85b4ae/"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Технічні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науки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25DB0E1F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4. 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"https://man-squidex-t2djr.ondigitalocean.app/api/assets/man/d6ab5da5-737c-49b7-ba7c-62b640649446/"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Хімія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біологія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FB9773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5. 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"https://man-squidex-t2djr.ondigitalocean.app/api/assets/man/684b2c8f-a7b2-4e00-a2a3-1f4f733b1328/"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. Науки про Землю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91EEBB7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6. 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"https://man-squidex-t2djr.ondigitalocean.app/api/assets/man/78904704-276b-48ae-be38-30f5be829314/"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Мовознавство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Історія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245C5E9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7. 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"https://man-squidex-t2djr.ondigitalocean.app/api/assets/man/ff7028e0-f16b-45c0-a07d-618345f444d1/"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Літературознавство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фольклористика та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мистецтвознавство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29C6743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8. 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"https://man-squidex-t2djr.ondigitalocean.app/api/assets/man/ab5bc975-c01c-409a-a689-67f2521c7aaf/"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Комп’ютерні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науки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3D64D2B2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9. 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"https://man-squidex-t2djr.ondigitalocean.app/api/assets/man/0b1192d0-5098-4246-8b68-85aab5fea406/"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Економіка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FF3CE67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10. 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"https://man-squidex-t2djr.ondigitalocean.app/api/assets/man/8a150f56-5f8a-4323-9396-03a120d44462/"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Дослідницько-експериментальний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Екологія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аграрні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науки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27423A28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Національно-патріотичне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та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туристсько-краєзначий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напрями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</w:p>
    <w:p w14:paraId="32BDEA39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підсумкових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етапах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(турах)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взяли участь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близько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9 тис.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Координатором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є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центр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,</w:t>
      </w:r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туризму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краєзнавства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УДЦНПВКТУМ).</w:t>
      </w:r>
    </w:p>
    <w:p w14:paraId="3ACF5071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Пріоритетним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молоддю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є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національно-патріотичне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Зусилля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УДЦНПВКТУМ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скеровані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рамках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дитячо-юнацької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військово-патріотичної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Сокіл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(«Джура»),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найбільш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масовими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заходами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етапи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Інгульська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Січ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-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вікова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група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(22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176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 та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Буковинська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Січ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-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старша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вікова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група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(24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192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E4DE0AF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форм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набули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популярності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слід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відзначити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онлайн-конкурс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ватр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назавжди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онлайн-конкурс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ватр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роїв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«Слава Героям»,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реєстрація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куренів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онлайн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гра-вікторина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Відун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»,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взяли участь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більше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10 тис.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Участь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роїв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у заходах</w:t>
      </w:r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«Добре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більше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150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роїв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екологічній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Збережемо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мальовничу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разом»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сприяли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активної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громадянської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позиції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Заходи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проводилися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офлайн та онлайн формах.</w:t>
      </w:r>
    </w:p>
    <w:p w14:paraId="4CB1670D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Туризм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краєзнавство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залишаються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популярними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середовищі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як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важливі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засоби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особистісних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якостей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людини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4CCB3085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УДЦНПВКТУМ через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експедиції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конкурси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«Моя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Батьківщина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»,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рідний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край», «Край,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я живу» та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революція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: 100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надії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боротьби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тощо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надавав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можливість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краєзнавцям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допитливість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історико-культурної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спадщини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народу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природного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різноманіття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рідного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краю.</w:t>
      </w:r>
    </w:p>
    <w:p w14:paraId="2A112D25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взяли участь у шести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конференціях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тематики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кількість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859),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проводились в онлайн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форматі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FFD9B36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Цікавим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важливим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соціальним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проектом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став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конкурс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борщ –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бренд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кулінарної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культури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», метою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популяризація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нематеріальної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культурної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спадщини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проводилась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підтримку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номінації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страви </w:t>
      </w:r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до списку</w:t>
      </w:r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Всесвітньої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культурної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спадщини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ЮНЕСКО.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Сьогодні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уже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реальність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страва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внесена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реєстру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ЮНЕСКО.</w:t>
      </w:r>
    </w:p>
    <w:p w14:paraId="6F385E5A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Популярною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стала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традиціях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високої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звитяги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популяризує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видатних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: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воїнів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діячів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культури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спорту,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письменників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релігійних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діячів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як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зразків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наслідування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служіння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народові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(821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провели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цікаві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дослідження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300-річчя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дня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народження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Григорія</w:t>
      </w:r>
      <w:proofErr w:type="spellEnd"/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Сковороди у рамках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«Шляхами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мандрів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Григорія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Сковороди».</w:t>
      </w:r>
    </w:p>
    <w:p w14:paraId="608886B9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туристи-спортсмени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продовжували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удосконалення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своєї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фахової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спортивної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майстерності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через участь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спортивних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студентської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(473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); у 50-му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Чемпіонаті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юнаків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пішохідного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туризму ( 20 команд, 152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), 7-му - з велосипедного туризму ( 12 команд, 69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); 4-му-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гірського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туризму (8 команд).</w:t>
      </w:r>
    </w:p>
    <w:p w14:paraId="70A553ED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>Вперше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Чемпіонат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орієнтування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трейл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присвячений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150-річчю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дня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народження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Лесі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(140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учасників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11919A72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За результатами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року 18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УДЦНПВТКУМ ставали призерами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Чемпіонатів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туризму та спортивного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орієнтування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Чотирьох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закладу включено </w:t>
      </w:r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до складу</w:t>
      </w:r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збірної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команди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орієнтування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трейл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шістьох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до складу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збірної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команди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туризму.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П’ятьом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присвоєний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розряд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«Кандидат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майстри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орієнтування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чотирьом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-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розряд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туризму,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п’ятьом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-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розряд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орієнтування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9DEB7E5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наступний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складанні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урахуванням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викликів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більше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годин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приділити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набуттю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дітьми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молоддю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компетентностей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орієнтування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місцевості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картою та без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неї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долати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природні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штучні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перешкоди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долати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великі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відстані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навантаженням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організовувати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польовий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побут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надавати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першу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домедичну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допомогу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тощо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Саме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такі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компетентності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необхідні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захисту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надзвичайних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ситуаціях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набуваються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04193AD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Особливістю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діяльності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є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обов’язкове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погодження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часу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занять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інших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поза межами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(особливо в природному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середовищі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поза межами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населених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пунктів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місцевими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адміністраціями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органами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місцевої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влади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самоврядування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3ECB1243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З метою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центром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краєзнавства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туризму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підготовлено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щодо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"https://patriotua.org/metodichni-rozrobki/"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сайті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УДЦНПВКТУМ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0F8879F2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-спортивного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можна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знайти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"https://patriotua.org/programi-gurtkiv/"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посиланням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01BAF81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6" w:history="1"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Розробки</w:t>
        </w:r>
        <w:proofErr w:type="spellEnd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занять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гаслом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перемоги»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сайті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УДЦНПВКТУМ.</w:t>
      </w:r>
    </w:p>
    <w:p w14:paraId="7CCBF5D2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Ознайомитись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роботою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УДЦНПВКТУМ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туристсько-краєзнавчого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можна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таких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соціальних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сторінках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37A28256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7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Сайт</w:t>
        </w:r>
      </w:hyperlink>
    </w:p>
    <w:p w14:paraId="706EF02F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8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Facebook УДЦНПВКТУМ</w:t>
        </w:r>
      </w:hyperlink>
    </w:p>
    <w:p w14:paraId="6B013E32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9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Facebook "Джура"</w:t>
        </w:r>
      </w:hyperlink>
    </w:p>
    <w:p w14:paraId="29BBFF93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20" w:history="1"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Instagram</w:t>
        </w:r>
        <w:proofErr w:type="spellEnd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УДЦНПВКТУМ</w:t>
        </w:r>
      </w:hyperlink>
    </w:p>
    <w:p w14:paraId="2C48642C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21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YouTube УДЦНПВКТУМ</w:t>
        </w:r>
      </w:hyperlink>
    </w:p>
    <w:p w14:paraId="7037C78B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22" w:history="1"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Telegram</w:t>
        </w:r>
        <w:proofErr w:type="spellEnd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УДЦНПВКТУМ</w:t>
        </w:r>
      </w:hyperlink>
    </w:p>
    <w:p w14:paraId="26EF1E5A" w14:textId="77777777" w:rsidR="00FC3661" w:rsidRPr="00FC3661" w:rsidRDefault="00FC3661" w:rsidP="00FC3661">
      <w:pPr>
        <w:numPr>
          <w:ilvl w:val="0"/>
          <w:numId w:val="4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23" w:history="1">
        <w:proofErr w:type="spellStart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Telegram</w:t>
        </w:r>
        <w:proofErr w:type="spellEnd"/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"Джура"</w:t>
        </w:r>
      </w:hyperlink>
    </w:p>
    <w:p w14:paraId="3E6C2A1A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Науково-технічний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</w:p>
    <w:p w14:paraId="56980541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Незважаючи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складну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ситуацію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країні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активно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працювали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демонструючи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результативність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своєї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Зокрема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є ряд перемог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міжнародному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рівні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 на 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Чемпіонаті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світу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зі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спортивної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радіопеленгації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відбувся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червні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2022 року (м.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Тиргу-Жіу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Румунія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юнацька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збірна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команда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підсумкам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виборола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7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золотих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9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срібних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4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бронзових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медалі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особистому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заліку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2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срібні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медалі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отримали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УДЦПО.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загальнокомандному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заліку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команда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нашої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посіла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; на 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Чемпіонаті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світу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>ракетомодельного</w:t>
      </w:r>
      <w:proofErr w:type="spellEnd"/>
      <w:r w:rsidRPr="00FC3661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lang w:eastAsia="ru-UA"/>
        </w:rPr>
        <w:t xml:space="preserve"> спорту</w:t>
      </w:r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дорослих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юніорів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(м.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Бузеу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Румунія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збірна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команда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виборола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загальнокомандне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;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крім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того,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особисті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призові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місця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посіли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міст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Ніжин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, Шостка та Херсон.</w:t>
      </w:r>
    </w:p>
    <w:p w14:paraId="210E7857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Протягом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року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збірної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команди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судномодельного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увійшло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20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регіонів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432B606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року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</w:t>
      </w:r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 20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організаційно-масових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 У них взяли участь </w:t>
      </w:r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2,5 тис.</w:t>
      </w:r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практично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усіх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регіонів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721DE4C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Крім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того,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педагогів-позашкільників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семінари-практикуми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тренінги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лекції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охоплено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більше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300</w:t>
      </w:r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працівників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центрів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науково-технічної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станцій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техніків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7FDE50D9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вихованцями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наступному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рекомендуємо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використовувати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наступні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0ED09BA2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:</w:t>
      </w:r>
    </w:p>
    <w:p w14:paraId="73EF40A2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1. 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"https://udcpo.com.ua/metod_work/"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Підготовка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операторів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БПЛА» (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автори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: Р. Ткачук, Л.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Пасхалова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). Для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авіамодельних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3C8F7C31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2. 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"https://udcpo.com.ua/metod_work/"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Судномоделювання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судномодельний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спорт «Командою на абордаж» (для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особливими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освітніми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потребами) (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автори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: Є.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Шитікова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Л.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Пасхалова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І. Когут, Р.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Маринич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). Для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судномодельних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79C28A8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3. 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"https://udcpo.com.ua/metod_work/"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науково-технічний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випуск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5). У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збірнику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представлено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інформаційно-технічного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художньо-технічного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профілів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навчання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). Для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педагогічних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працівників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загальної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lastRenderedPageBreak/>
        <w:t>середньої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професійної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професійно-технічної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фахівців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займаються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питаннями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CD0B275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положення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, правила:</w:t>
      </w:r>
    </w:p>
    <w:p w14:paraId="1D5B3542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1.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історичної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реконструкції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Національно-патріотичне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підлітків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умовах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закладу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впровадження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національно-патріотичного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підлітків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закладах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24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F16D71A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2.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авіа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-, авто-,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судномодельного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моделями» (</w:t>
      </w:r>
      <w:hyperlink r:id="rId25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A46EE2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3.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Особливості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застосування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педагогічних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працівників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26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E2AB1EB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4.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Положення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регламенти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про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масових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27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https://udcpo.com.ua/polozhennia_ntn/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6F87237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5.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Положення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відкритих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спортивно-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технічних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інших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технічної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28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https://udcpo.com.ua/polozhennia_ntn/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14428CC3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6. Правила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судномодельного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спорту. Правила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моделей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класу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F-МБ (</w:t>
      </w:r>
      <w:hyperlink r:id="rId29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https://drive.google.com/file/d/1LrCvGO_ZniDxHp6RIW2mbP4tqRN3-q0z/view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81ED41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7.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Витяг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правил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судномодельного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моделі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рекомендовані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змагань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 (</w:t>
      </w:r>
      <w:hyperlink r:id="rId30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https://drive.google.com/drive/u/1/folders/1E528jqLiengcqLO_whjKkApXVnN5ao-w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  </w:t>
      </w:r>
    </w:p>
    <w:p w14:paraId="31BAE8CB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8.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Відеоматеріал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: «Комплекс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вправ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фізичної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підготовки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захисників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до Дня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Конституції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(YouTube-канал УДЦПО, </w:t>
      </w:r>
      <w:hyperlink r:id="rId31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https://www.youtube.com/watch?v=8LaJFWDfZ6w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6A81924E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Корисні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Інтернет-ресурси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:</w:t>
      </w:r>
    </w:p>
    <w:p w14:paraId="07D69D0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1.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Громадська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Федерація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судномоделізму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судномодельного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(</w:t>
      </w:r>
      <w:hyperlink r:id="rId32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http://fsssu.org.ua/ru/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F5284C2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2.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Громадська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Федерація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Автомодельного спорту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статусом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Національна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(</w:t>
      </w:r>
      <w:hyperlink r:id="rId33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https://rcracing.com.ua/trid/famsu/12698829554/2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2BBBEC4E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3.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Федерація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ракетомодельного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спорту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34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https://scu.org.ua/type_sport/raketomodelnij-sport/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63654067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4.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Комітет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фізичного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спорту МОН (</w:t>
      </w:r>
      <w:hyperlink r:id="rId35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http://sportmon.org/about/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E64A7FA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5.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Молодіжна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громадська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Київський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Інтелект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Клуб» (</w:t>
      </w:r>
      <w:hyperlink r:id="rId36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http://it-arena.org/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68D05A0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Художньо-естетичний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напрям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освіти</w:t>
      </w:r>
      <w:proofErr w:type="spellEnd"/>
    </w:p>
    <w:p w14:paraId="5B1DA2DD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року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Українським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державним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центром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- УДЦПО) проведено </w:t>
      </w:r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40</w:t>
      </w:r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організаційно-масових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обдарованих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4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міжнародного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рівня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У них взяли </w:t>
      </w:r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>участь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майже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60 тис.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 ЗПО практично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усіх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регіонів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Крім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того,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педагогів-позашкільників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проведено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семінари-практикуми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тренінги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круглі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столи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лекції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якими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охоплено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більше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1 тис.</w:t>
      </w:r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працівників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центрів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палаців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будинків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дитячої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юнацької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центрів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естетичного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AFDED07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Попри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складну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ситуацію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почесні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звання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Зразковий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і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Народний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отримали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273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плідно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продовжують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свою роботу й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воєнний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час.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огляду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військовий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стан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країні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використано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очну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заочну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комбіновану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час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міжнародних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організаційно-масових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УДЦПО активно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використовує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цифрові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канали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демонстрації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результатів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інших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подій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сфері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своєї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діяльності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дозволяє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суттєво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збільшити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аудиторію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долучити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процесу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значну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кількість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вимушено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виїхали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межі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України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A7AD8DF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минулому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75DEA6BE" w14:textId="77777777" w:rsidR="00FC3661" w:rsidRPr="00FC3661" w:rsidRDefault="00FC3661" w:rsidP="00FC3661">
      <w:pPr>
        <w:numPr>
          <w:ilvl w:val="0"/>
          <w:numId w:val="5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започатковано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діяльність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Дитячого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онлайн-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радіо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Паляниця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»,</w:t>
      </w: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 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етері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якого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відбуваються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трансляції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аудіозаписів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виступів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ЗПО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підтримки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морального духу наших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захисників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цивільних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співгромадян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дорослих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;</w:t>
      </w:r>
    </w:p>
    <w:p w14:paraId="79AFCF04" w14:textId="77777777" w:rsidR="00FC3661" w:rsidRPr="00FC3661" w:rsidRDefault="00FC3661" w:rsidP="00FC3661">
      <w:pPr>
        <w:numPr>
          <w:ilvl w:val="0"/>
          <w:numId w:val="5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запроваджено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відео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-хаб «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Позашкілля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– там де я!»</w:t>
      </w: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 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ютуб-каналі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УДЦПО, де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розміщуються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короткі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відеозаписи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про роботу</w:t>
      </w:r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</w:p>
    <w:p w14:paraId="68A5C05D" w14:textId="77777777" w:rsidR="00FC3661" w:rsidRPr="00FC3661" w:rsidRDefault="00FC3661" w:rsidP="00FC3661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про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дитячі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досягнення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художньо-естетичного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науково-технічного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майстер-класи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мистецькі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виступи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фрагменти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профілів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корисні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поради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proofErr w:type="gram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,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їхніх</w:t>
      </w:r>
      <w:proofErr w:type="spellEnd"/>
      <w:proofErr w:type="gram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батьків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);</w:t>
      </w:r>
    </w:p>
    <w:p w14:paraId="39D1AFFD" w14:textId="77777777" w:rsidR="00FC3661" w:rsidRPr="00FC3661" w:rsidRDefault="00FC3661" w:rsidP="00FC3661">
      <w:pPr>
        <w:numPr>
          <w:ilvl w:val="0"/>
          <w:numId w:val="5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оновлено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реєстр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звань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Зразковий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і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Народний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згідно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результатами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фестивалю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Чисті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роси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чудова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мотивація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залучення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фахівців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–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вищої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системі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C594E95" w14:textId="77777777" w:rsidR="00FC3661" w:rsidRPr="00FC3661" w:rsidRDefault="00FC3661" w:rsidP="00FC3661">
      <w:pPr>
        <w:numPr>
          <w:ilvl w:val="0"/>
          <w:numId w:val="5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підготовлено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 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електронний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Опитувальник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закладів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 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щодо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покращення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умов для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медичної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психологічної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педагогічної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реабілітації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соціальної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реінтеграції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дітей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;</w:t>
      </w:r>
    </w:p>
    <w:p w14:paraId="49288385" w14:textId="77777777" w:rsidR="00FC3661" w:rsidRPr="00FC3661" w:rsidRDefault="00FC3661" w:rsidP="00FC3661">
      <w:pPr>
        <w:numPr>
          <w:ilvl w:val="0"/>
          <w:numId w:val="5"/>
        </w:numPr>
        <w:shd w:val="clear" w:color="auto" w:fill="FFFFFF"/>
        <w:spacing w:after="0" w:line="270" w:lineRule="atLeast"/>
        <w:ind w:left="1005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підготовлено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21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програму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 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художньо-естетичного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вокальний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театральний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цирковий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профілі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);</w:t>
      </w:r>
    </w:p>
    <w:p w14:paraId="324A538B" w14:textId="77777777" w:rsidR="00FC3661" w:rsidRPr="00FC3661" w:rsidRDefault="00FC3661" w:rsidP="00FC3661">
      <w:pPr>
        <w:shd w:val="clear" w:color="auto" w:fill="FFFFFF"/>
        <w:spacing w:after="21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У новому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році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рекомендуємо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використовувати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такі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навчально-методичні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:</w:t>
      </w:r>
    </w:p>
    <w:p w14:paraId="6873C73F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:</w:t>
      </w:r>
    </w:p>
    <w:p w14:paraId="3CAFAE3A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 xml:space="preserve">1.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Вокальне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вокального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37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3ABBC7F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2.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Вокальне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вокального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38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0F2B029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3.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Дівочий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хоровий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дівочого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хорового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співу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39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095CEA8B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4.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Естрадна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пісня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естрадного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0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C9E7B36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5.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Основи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музичного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музичного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1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76E9A09A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6.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Фольклорне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фольклорного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2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7BC339EA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7.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Хлопчачий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хоровий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студіях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хлопчачого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хорового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співу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3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0B91BD86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8.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Акторська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майстерність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секціях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клубах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акторської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майстерності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4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7120665D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9.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Театральне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секціях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клубах театрального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5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0303EFD4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10.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Циркове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».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реалізується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секціях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об’єднаннях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, клубах циркового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мистецтва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6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https://udcpo.com.ua/metod_work/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9145D2D" w14:textId="77777777" w:rsidR="00FC3661" w:rsidRPr="00FC3661" w:rsidRDefault="00FC3661" w:rsidP="00FC366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, </w:t>
      </w:r>
      <w:proofErr w:type="spellStart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положення</w:t>
      </w:r>
      <w:proofErr w:type="spellEnd"/>
      <w:r w:rsidRPr="00FC3661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:</w:t>
      </w:r>
    </w:p>
    <w:p w14:paraId="2D4753EE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1.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досвіду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педагогів-позашкільників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метою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гурткової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роботи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використовуючи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різні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форми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процесу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умовах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воєнного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стану (</w:t>
      </w:r>
      <w:hyperlink r:id="rId47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246B8E01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2.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щодо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особливостей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процесу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художньо-естетичного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дистанційному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(онлайн)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режимі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48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D338D36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3.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рекомендації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декоративно-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ужиткового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образотворчого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профілів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щодо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організації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виставки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«Знай і люби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свій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край» (</w:t>
      </w:r>
      <w:hyperlink r:id="rId49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4DBD2A15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lastRenderedPageBreak/>
        <w:t xml:space="preserve">4.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Методичний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посібник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декоративно-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ужиткового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профілю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художньо-естетичного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«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Рукоділля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душі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» (</w:t>
      </w:r>
      <w:hyperlink r:id="rId50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6D043CD2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5. Для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керівників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завідувачів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відділами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творчих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колективів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підготовлено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діагностичну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карту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визначення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рівня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утруднень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під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час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здійснення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освітнього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процесу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в закладах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психологічну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карту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вихованця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гуртка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ЗПО (</w:t>
      </w:r>
      <w:hyperlink r:id="rId51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https://udcpo.com.ua/method-work/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69E3248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6.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Положення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про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проведення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Всеукраїнських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масових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заходів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серед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дітей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учнівської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молоді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художньо-естетичного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hyperlink r:id="rId52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https://udcpo.com.ua/%D0%BF%D0%BE%D0%BB%D0%BE%D0%B6%D0%B5%D0%BD%D0%BD%D1%8F/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0DFBE6E0" w14:textId="77777777" w:rsidR="00FC3661" w:rsidRPr="00FC3661" w:rsidRDefault="00FC3661" w:rsidP="00FC366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Усі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зазначені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навчальні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програми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інші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матеріали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розміщені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вільному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доступі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офіційному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вебсайті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УДЦПО на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сторінках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відповідних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напрямів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позашкільної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FC3661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  <w:hyperlink r:id="rId53" w:history="1">
        <w:r w:rsidRPr="00FC3661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https://udcpo.com.ua/</w:t>
        </w:r>
      </w:hyperlink>
      <w:r w:rsidRPr="00FC3661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3D4D660" w14:textId="77777777" w:rsidR="00FC3661" w:rsidRPr="00FC3661" w:rsidRDefault="00FC3661" w:rsidP="00FC3661">
      <w:pPr>
        <w:shd w:val="clear" w:color="auto" w:fill="FFFFFF"/>
        <w:spacing w:after="0" w:line="240" w:lineRule="auto"/>
        <w:rPr>
          <w:rFonts w:eastAsia="Times New Roman" w:cs="Times New Roman"/>
          <w:color w:val="B4AAAA"/>
          <w:szCs w:val="28"/>
          <w:lang w:eastAsia="ru-UA"/>
        </w:rPr>
      </w:pPr>
      <w:r w:rsidRPr="00FC3661">
        <w:rPr>
          <w:rFonts w:eastAsia="Times New Roman" w:cs="Times New Roman"/>
          <w:color w:val="B4AAAA"/>
          <w:szCs w:val="28"/>
          <w:lang w:eastAsia="ru-UA"/>
        </w:rPr>
        <w:t> </w:t>
      </w:r>
      <w:proofErr w:type="spellStart"/>
      <w:r w:rsidRPr="00FC3661">
        <w:rPr>
          <w:rFonts w:cs="Times New Roman"/>
          <w:szCs w:val="28"/>
        </w:rPr>
        <w:fldChar w:fldCharType="begin"/>
      </w:r>
      <w:r w:rsidRPr="00FC3661">
        <w:rPr>
          <w:rFonts w:cs="Times New Roman"/>
          <w:szCs w:val="28"/>
        </w:rPr>
        <w:instrText xml:space="preserve"> HYPERLINK "https://osvita.ua/legislation/tag-lystymon/" </w:instrText>
      </w:r>
      <w:r w:rsidRPr="00FC3661">
        <w:rPr>
          <w:rFonts w:cs="Times New Roman"/>
          <w:szCs w:val="28"/>
        </w:rPr>
        <w:fldChar w:fldCharType="separate"/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листи</w:t>
      </w:r>
      <w:proofErr w:type="spellEnd"/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 xml:space="preserve"> МОН</w:t>
      </w:r>
      <w:r w:rsidRPr="00FC3661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fldChar w:fldCharType="end"/>
      </w:r>
    </w:p>
    <w:p w14:paraId="6730E0C9" w14:textId="77777777" w:rsidR="00FC3661" w:rsidRPr="00FC3661" w:rsidRDefault="00FC3661" w:rsidP="00FC3661">
      <w:pPr>
        <w:shd w:val="clear" w:color="auto" w:fill="FFFFFF"/>
        <w:spacing w:after="90" w:line="285" w:lineRule="atLeast"/>
        <w:textAlignment w:val="center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Facebook</w:t>
      </w:r>
    </w:p>
    <w:p w14:paraId="592C7CE6" w14:textId="77777777" w:rsidR="00FC3661" w:rsidRPr="00FC3661" w:rsidRDefault="00FC3661" w:rsidP="00FC3661">
      <w:pPr>
        <w:shd w:val="clear" w:color="auto" w:fill="FFFFFF"/>
        <w:spacing w:after="0" w:line="285" w:lineRule="atLeast"/>
        <w:textAlignment w:val="center"/>
        <w:rPr>
          <w:rFonts w:eastAsia="Times New Roman" w:cs="Times New Roman"/>
          <w:color w:val="000000"/>
          <w:szCs w:val="28"/>
          <w:lang w:eastAsia="ru-UA"/>
        </w:rPr>
      </w:pPr>
      <w:r w:rsidRPr="00FC3661">
        <w:rPr>
          <w:rFonts w:eastAsia="Times New Roman" w:cs="Times New Roman"/>
          <w:color w:val="000000"/>
          <w:szCs w:val="28"/>
          <w:lang w:eastAsia="ru-UA"/>
        </w:rPr>
        <w:t> </w:t>
      </w:r>
    </w:p>
    <w:p w14:paraId="1AC06364" w14:textId="77777777" w:rsidR="00FC3661" w:rsidRPr="00FC3661" w:rsidRDefault="00FC3661" w:rsidP="00FC3661">
      <w:pPr>
        <w:shd w:val="clear" w:color="auto" w:fill="FFFFFF"/>
        <w:spacing w:after="90" w:line="285" w:lineRule="atLeast"/>
        <w:textAlignment w:val="center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FC3661">
        <w:rPr>
          <w:rFonts w:eastAsia="Times New Roman" w:cs="Times New Roman"/>
          <w:color w:val="000000"/>
          <w:szCs w:val="28"/>
          <w:bdr w:val="none" w:sz="0" w:space="0" w:color="auto" w:frame="1"/>
          <w:lang w:eastAsia="ru-UA"/>
        </w:rPr>
        <w:t>Twitter</w:t>
      </w:r>
      <w:proofErr w:type="spellEnd"/>
    </w:p>
    <w:p w14:paraId="61B1B304" w14:textId="77777777" w:rsidR="00FC3661" w:rsidRPr="00FC3661" w:rsidRDefault="00FC3661" w:rsidP="00FC3661">
      <w:pPr>
        <w:shd w:val="clear" w:color="auto" w:fill="FFFFFF"/>
        <w:spacing w:after="150" w:line="270" w:lineRule="atLeast"/>
        <w:ind w:right="-750"/>
        <w:rPr>
          <w:rFonts w:eastAsia="Times New Roman" w:cs="Times New Roman"/>
          <w:color w:val="999999"/>
          <w:szCs w:val="28"/>
          <w:lang w:eastAsia="ru-UA"/>
        </w:rPr>
      </w:pPr>
      <w:hyperlink r:id="rId54" w:tooltip="osvita.ua" w:history="1">
        <w:r w:rsidRPr="00FC3661">
          <w:rPr>
            <w:rFonts w:eastAsia="Times New Roman" w:cs="Times New Roman"/>
            <w:color w:val="999999"/>
            <w:szCs w:val="28"/>
            <w:u w:val="single"/>
            <w:bdr w:val="none" w:sz="0" w:space="0" w:color="auto" w:frame="1"/>
            <w:lang w:eastAsia="ru-UA"/>
          </w:rPr>
          <w:t>Освіта.ua</w:t>
        </w:r>
      </w:hyperlink>
      <w:r w:rsidRPr="00FC3661">
        <w:rPr>
          <w:rFonts w:eastAsia="Times New Roman" w:cs="Times New Roman"/>
          <w:color w:val="999999"/>
          <w:szCs w:val="28"/>
          <w:lang w:eastAsia="ru-UA"/>
        </w:rPr>
        <w:br/>
        <w:t>27.07.2022</w:t>
      </w:r>
    </w:p>
    <w:p w14:paraId="792D896D" w14:textId="77777777" w:rsidR="00FC3661" w:rsidRPr="00FC3661" w:rsidRDefault="00FC3661" w:rsidP="00FC3661">
      <w:pPr>
        <w:rPr>
          <w:rFonts w:cs="Times New Roman"/>
          <w:szCs w:val="28"/>
        </w:rPr>
      </w:pPr>
    </w:p>
    <w:p w14:paraId="68B61C22" w14:textId="77777777" w:rsidR="008F40B1" w:rsidRPr="00FC3661" w:rsidRDefault="008F40B1">
      <w:pPr>
        <w:rPr>
          <w:rFonts w:cs="Times New Roman"/>
          <w:szCs w:val="28"/>
        </w:rPr>
      </w:pPr>
    </w:p>
    <w:sectPr w:rsidR="008F40B1" w:rsidRPr="00FC3661" w:rsidSect="00FC3661">
      <w:pgSz w:w="11906" w:h="16838"/>
      <w:pgMar w:top="1134" w:right="707" w:bottom="156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84F"/>
    <w:multiLevelType w:val="multilevel"/>
    <w:tmpl w:val="60F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70E52"/>
    <w:multiLevelType w:val="multilevel"/>
    <w:tmpl w:val="10D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6342E"/>
    <w:multiLevelType w:val="multilevel"/>
    <w:tmpl w:val="2BB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A6CFC"/>
    <w:multiLevelType w:val="multilevel"/>
    <w:tmpl w:val="9DFA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66C2C"/>
    <w:multiLevelType w:val="multilevel"/>
    <w:tmpl w:val="57F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765782">
    <w:abstractNumId w:val="3"/>
  </w:num>
  <w:num w:numId="2" w16cid:durableId="631442547">
    <w:abstractNumId w:val="0"/>
  </w:num>
  <w:num w:numId="3" w16cid:durableId="1022320630">
    <w:abstractNumId w:val="1"/>
  </w:num>
  <w:num w:numId="4" w16cid:durableId="910578995">
    <w:abstractNumId w:val="2"/>
  </w:num>
  <w:num w:numId="5" w16cid:durableId="1373070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E"/>
    <w:rsid w:val="002674E6"/>
    <w:rsid w:val="006129FE"/>
    <w:rsid w:val="008F40B1"/>
    <w:rsid w:val="00B3588E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45F8"/>
  <w15:chartTrackingRefBased/>
  <w15:docId w15:val="{F8E34F8B-47EC-4B3A-BB7D-1E8680C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emua.science/" TargetMode="External"/><Relationship Id="rId18" Type="http://schemas.openxmlformats.org/officeDocument/2006/relationships/hyperlink" Target="https://www.facebook.com/UDCNPV/" TargetMode="External"/><Relationship Id="rId26" Type="http://schemas.openxmlformats.org/officeDocument/2006/relationships/hyperlink" Target="https://udcpo.com.ua/method-work/" TargetMode="External"/><Relationship Id="rId39" Type="http://schemas.openxmlformats.org/officeDocument/2006/relationships/hyperlink" Target="https://udcpo.com.ua/metod_work/" TargetMode="External"/><Relationship Id="rId21" Type="http://schemas.openxmlformats.org/officeDocument/2006/relationships/hyperlink" Target="https://www.youtube.com/channel/UCkHL9-_u197g86u5EWGucYQ/featured" TargetMode="External"/><Relationship Id="rId34" Type="http://schemas.openxmlformats.org/officeDocument/2006/relationships/hyperlink" Target="https://scu.org.ua/type_sport/raketomodelnij-sport/" TargetMode="External"/><Relationship Id="rId42" Type="http://schemas.openxmlformats.org/officeDocument/2006/relationships/hyperlink" Target="https://udcpo.com.ua/metod_work/" TargetMode="External"/><Relationship Id="rId47" Type="http://schemas.openxmlformats.org/officeDocument/2006/relationships/hyperlink" Target="https://udcpo.com.ua/method-work/" TargetMode="External"/><Relationship Id="rId50" Type="http://schemas.openxmlformats.org/officeDocument/2006/relationships/hyperlink" Target="https://udcpo.com.ua/method-work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nenc.gov.ua/wp-content/uploads/2015/01/prog-2018.1.pdf" TargetMode="External"/><Relationship Id="rId12" Type="http://schemas.openxmlformats.org/officeDocument/2006/relationships/hyperlink" Target="https://nenc.gov.ua/wp-content/uploads/2015/01/prog_Zvedenyuk.pdf" TargetMode="External"/><Relationship Id="rId17" Type="http://schemas.openxmlformats.org/officeDocument/2006/relationships/hyperlink" Target="https://patriotua.org/znannia-dlia-peremohy/" TargetMode="External"/><Relationship Id="rId25" Type="http://schemas.openxmlformats.org/officeDocument/2006/relationships/hyperlink" Target="https://udcpo.com.ua/method-work/" TargetMode="External"/><Relationship Id="rId33" Type="http://schemas.openxmlformats.org/officeDocument/2006/relationships/hyperlink" Target="https://rcracing.com.ua/trid/famsu/12698829554/2" TargetMode="External"/><Relationship Id="rId38" Type="http://schemas.openxmlformats.org/officeDocument/2006/relationships/hyperlink" Target="https://udcpo.com.ua/metod_work/" TargetMode="External"/><Relationship Id="rId46" Type="http://schemas.openxmlformats.org/officeDocument/2006/relationships/hyperlink" Target="https://udcpo.com.ua/metod_wor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riotua.org/znannia-dlia-peremohy/" TargetMode="External"/><Relationship Id="rId20" Type="http://schemas.openxmlformats.org/officeDocument/2006/relationships/hyperlink" Target="https://www.instagram.com/udcnpv/" TargetMode="External"/><Relationship Id="rId29" Type="http://schemas.openxmlformats.org/officeDocument/2006/relationships/hyperlink" Target="https://drive.google.com/file/d/1LrCvGO_ZniDxHp6RIW2mbP4tqRN3-q0z/view" TargetMode="External"/><Relationship Id="rId41" Type="http://schemas.openxmlformats.org/officeDocument/2006/relationships/hyperlink" Target="https://udcpo.com.ua/metod_work/" TargetMode="External"/><Relationship Id="rId54" Type="http://schemas.openxmlformats.org/officeDocument/2006/relationships/hyperlink" Target="http://osvita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nc.gov.ua/wp-content/uploads/2015/01/progr-2018.pdf" TargetMode="External"/><Relationship Id="rId11" Type="http://schemas.openxmlformats.org/officeDocument/2006/relationships/hyperlink" Target="https://nenc.gov.ua/wp-content/uploads/2021/08/zbirka2021-1.pdf" TargetMode="External"/><Relationship Id="rId24" Type="http://schemas.openxmlformats.org/officeDocument/2006/relationships/hyperlink" Target="https://udcpo.com.ua/method-work/" TargetMode="External"/><Relationship Id="rId32" Type="http://schemas.openxmlformats.org/officeDocument/2006/relationships/hyperlink" Target="http://fsssu.org.ua/ru/" TargetMode="External"/><Relationship Id="rId37" Type="http://schemas.openxmlformats.org/officeDocument/2006/relationships/hyperlink" Target="https://udcpo.com.ua/metod_work/" TargetMode="External"/><Relationship Id="rId40" Type="http://schemas.openxmlformats.org/officeDocument/2006/relationships/hyperlink" Target="https://udcpo.com.ua/metod_work/" TargetMode="External"/><Relationship Id="rId45" Type="http://schemas.openxmlformats.org/officeDocument/2006/relationships/hyperlink" Target="https://udcpo.com.ua/metod_work/" TargetMode="External"/><Relationship Id="rId53" Type="http://schemas.openxmlformats.org/officeDocument/2006/relationships/hyperlink" Target="https://udcpo.com.ua/" TargetMode="External"/><Relationship Id="rId5" Type="http://schemas.openxmlformats.org/officeDocument/2006/relationships/hyperlink" Target="https://t.me/education_nenc" TargetMode="External"/><Relationship Id="rId15" Type="http://schemas.openxmlformats.org/officeDocument/2006/relationships/hyperlink" Target="https://www.instagram.com/jas.ukraine/" TargetMode="External"/><Relationship Id="rId23" Type="http://schemas.openxmlformats.org/officeDocument/2006/relationships/hyperlink" Target="https://t.me/DzhuraNews" TargetMode="External"/><Relationship Id="rId28" Type="http://schemas.openxmlformats.org/officeDocument/2006/relationships/hyperlink" Target="https://udcpo.com.ua/polozhennia_ntn/" TargetMode="External"/><Relationship Id="rId36" Type="http://schemas.openxmlformats.org/officeDocument/2006/relationships/hyperlink" Target="http://it-arena.org/" TargetMode="External"/><Relationship Id="rId49" Type="http://schemas.openxmlformats.org/officeDocument/2006/relationships/hyperlink" Target="https://udcpo.com.ua/method-work/" TargetMode="External"/><Relationship Id="rId10" Type="http://schemas.openxmlformats.org/officeDocument/2006/relationships/hyperlink" Target="https://nenc.gov.ua/wp-content/uploads/2015/01/PROG%D0%BC%D0%B5%D1%82%D0%BE%D0%B4.pdf" TargetMode="External"/><Relationship Id="rId19" Type="http://schemas.openxmlformats.org/officeDocument/2006/relationships/hyperlink" Target="https://www.facebook.com/dzhura.main/" TargetMode="External"/><Relationship Id="rId31" Type="http://schemas.openxmlformats.org/officeDocument/2006/relationships/hyperlink" Target="https://www.youtube.com/watch?v=8LaJFWDfZ6w" TargetMode="External"/><Relationship Id="rId44" Type="http://schemas.openxmlformats.org/officeDocument/2006/relationships/hyperlink" Target="https://udcpo.com.ua/metod_work/" TargetMode="External"/><Relationship Id="rId52" Type="http://schemas.openxmlformats.org/officeDocument/2006/relationships/hyperlink" Target="https://udcpo.com.ua/%D0%BF%D0%BE%D0%BB%D0%BE%D0%B6%D0%B5%D0%BD%D0%BD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nc.gov.ua/wp-content/uploads/2015/01/programms.pdf" TargetMode="External"/><Relationship Id="rId14" Type="http://schemas.openxmlformats.org/officeDocument/2006/relationships/hyperlink" Target="https://www.facebook.com/JAS.Ukraine/" TargetMode="External"/><Relationship Id="rId22" Type="http://schemas.openxmlformats.org/officeDocument/2006/relationships/hyperlink" Target="https://t.me/udcnpv" TargetMode="External"/><Relationship Id="rId27" Type="http://schemas.openxmlformats.org/officeDocument/2006/relationships/hyperlink" Target="https://udcpo.com.ua/polozhennia_ntn/" TargetMode="External"/><Relationship Id="rId30" Type="http://schemas.openxmlformats.org/officeDocument/2006/relationships/hyperlink" Target="https://drive.google.com/drive/u/1/folders/1E528jqLiengcqLO_whjKkApXVnN5ao-w" TargetMode="External"/><Relationship Id="rId35" Type="http://schemas.openxmlformats.org/officeDocument/2006/relationships/hyperlink" Target="http://sportmon.org/about/" TargetMode="External"/><Relationship Id="rId43" Type="http://schemas.openxmlformats.org/officeDocument/2006/relationships/hyperlink" Target="https://udcpo.com.ua/metod_work/" TargetMode="External"/><Relationship Id="rId48" Type="http://schemas.openxmlformats.org/officeDocument/2006/relationships/hyperlink" Target="https://udcpo.com.ua/method-work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nenc.gov.ua/wp-content/uploads/2015/01/programms1.pdf" TargetMode="External"/><Relationship Id="rId51" Type="http://schemas.openxmlformats.org/officeDocument/2006/relationships/hyperlink" Target="https://udcpo.com.ua/method-wor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2022-09-06T07:48:00Z</dcterms:created>
  <dcterms:modified xsi:type="dcterms:W3CDTF">2022-09-06T08:00:00Z</dcterms:modified>
</cp:coreProperties>
</file>