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4F82" w14:textId="77777777" w:rsidR="00D52857" w:rsidRPr="00B20329" w:rsidRDefault="00D52857" w:rsidP="00B20329">
      <w:pPr>
        <w:spacing w:after="225" w:line="276" w:lineRule="auto"/>
        <w:jc w:val="center"/>
        <w:outlineLvl w:val="0"/>
        <w:rPr>
          <w:rFonts w:eastAsia="Times New Roman" w:cs="Times New Roman"/>
          <w:color w:val="000000"/>
          <w:kern w:val="36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: </w:t>
      </w:r>
      <w:proofErr w:type="spellStart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>потрібно</w:t>
      </w:r>
      <w:proofErr w:type="spellEnd"/>
      <w:r w:rsidRPr="00B20329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 знати педагогу</w:t>
      </w:r>
    </w:p>
    <w:p w14:paraId="1755B145" w14:textId="4D001E74" w:rsidR="00B20329" w:rsidRDefault="00B20329" w:rsidP="00B20329">
      <w:pPr>
        <w:shd w:val="clear" w:color="auto" w:fill="FFFFFF"/>
        <w:spacing w:after="0" w:line="276" w:lineRule="auto"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</w:pPr>
      <w: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Кожен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педагогічний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працівник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 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зобов’язаний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підвищувати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свій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професійний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рівень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педагогічну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майстерність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підвищувати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кваліфікацію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–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тобто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опановувати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нові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вдосконалювати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раніше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набуті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компетентності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у межах</w:t>
      </w:r>
      <w:proofErr w:type="gram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своєї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професійної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діяльності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галузі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знань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.</w:t>
      </w:r>
    </w:p>
    <w:p w14:paraId="78040D4F" w14:textId="55048F52" w:rsidR="00D52857" w:rsidRPr="00B20329" w:rsidRDefault="00B20329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Служба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освітнього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омбудсмена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підготувала</w:t>
      </w:r>
      <w:proofErr w:type="spellEnd"/>
      <w: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val="uk-UA" w:eastAsia="ru-UA"/>
        </w:rPr>
        <w:t xml:space="preserve"> </w:t>
      </w:r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 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D52857" w:rsidRPr="00B20329">
        <w:rPr>
          <w:rFonts w:eastAsia="Times New Roman" w:cs="Times New Roman"/>
          <w:color w:val="000000"/>
          <w:szCs w:val="28"/>
          <w:lang w:eastAsia="ru-UA"/>
        </w:rPr>
        <w:instrText xml:space="preserve"> HYPERLINK "https://eo.gov.ua/shcho-potribno-znaty-pedahohu-pro-pidvyshchennia-kvalifikatsii/?fbclid=IwAR00B6Xu8r8hE4QMdYs7t4FwPqO_l7VZ90AUpGBwYSbDdVJtbwcITieMEPE" </w:instrText>
      </w:r>
      <w:r w:rsidR="00D52857" w:rsidRPr="00B20329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D52857"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>роз’ясне</w:t>
      </w:r>
      <w:r w:rsidR="00D52857"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>н</w:t>
      </w:r>
      <w:r w:rsidR="00D52857"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>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потрібно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знати педагогу про процедуру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.</w:t>
      </w:r>
    </w:p>
    <w:p w14:paraId="6241086B" w14:textId="77777777" w:rsidR="00B20329" w:rsidRDefault="00B20329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</w:pPr>
    </w:p>
    <w:p w14:paraId="4E7F7CCB" w14:textId="130140C4" w:rsidR="00D52857" w:rsidRPr="00B20329" w:rsidRDefault="00B20329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Процедура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визначається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частиною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шостої</w:t>
      </w:r>
      <w:proofErr w:type="spellEnd"/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статті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59 Закону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України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«Про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» та </w:t>
      </w:r>
      <w:hyperlink r:id="rId5" w:history="1"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 xml:space="preserve">Порядком </w:t>
        </w:r>
        <w:proofErr w:type="spellStart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>підвищення</w:t>
        </w:r>
        <w:proofErr w:type="spellEnd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>кваліфікації</w:t>
        </w:r>
        <w:proofErr w:type="spellEnd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>педагогічних</w:t>
        </w:r>
        <w:proofErr w:type="spellEnd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 xml:space="preserve"> і </w:t>
        </w:r>
        <w:proofErr w:type="spellStart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>науково-педагогічних</w:t>
        </w:r>
        <w:proofErr w:type="spellEnd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D52857" w:rsidRPr="00B20329">
          <w:rPr>
            <w:rFonts w:eastAsia="Times New Roman" w:cs="Times New Roman"/>
            <w:color w:val="8C8282"/>
            <w:szCs w:val="28"/>
            <w:bdr w:val="none" w:sz="0" w:space="0" w:color="auto" w:frame="1"/>
            <w:lang w:eastAsia="ru-UA"/>
          </w:rPr>
          <w:t>працівників</w:t>
        </w:r>
        <w:proofErr w:type="spellEnd"/>
      </w:hyperlink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0BE36392" w14:textId="68FAD7AC" w:rsidR="00D52857" w:rsidRPr="00B20329" w:rsidRDefault="00B20329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Загальний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вчителя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не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бути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менший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ніж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150 годин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п’ять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років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16 Порядку). Педагог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обирає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також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тобто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того,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хто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йому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7 Порядку).</w:t>
      </w:r>
    </w:p>
    <w:p w14:paraId="2D6F9A21" w14:textId="42CF6B99" w:rsidR="00D52857" w:rsidRDefault="00D52857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</w:pP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Затвердження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плану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2A5FB662" w14:textId="77777777" w:rsidR="00B20329" w:rsidRP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8"/>
          <w:lang w:eastAsia="ru-UA"/>
        </w:rPr>
      </w:pPr>
    </w:p>
    <w:p w14:paraId="2D789F68" w14:textId="4E2F08E3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забезпечують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засновники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уповноважені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ними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органи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органи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управління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 Порядку).</w:t>
      </w:r>
    </w:p>
    <w:p w14:paraId="07883433" w14:textId="77777777" w:rsidR="00D52857" w:rsidRPr="00B20329" w:rsidRDefault="00D52857" w:rsidP="00B203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Складання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орієнтовного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плану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0F472CB9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Щороку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поточному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році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складається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орієнтовний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план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наступний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затверджується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педагогічною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радою й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оприлюднюється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інформаційному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стенді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його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вебсайті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сайті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органу,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сфері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управління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перебуває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протягом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двох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робочих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днів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дня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його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затвердження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але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пізніше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25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грудня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поточного року.</w:t>
      </w:r>
    </w:p>
    <w:p w14:paraId="388B5E6B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План повинен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загальну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кількість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підвищуватимуть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основні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орієнтовний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перелік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враховувати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пропозиції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підставі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орієнтовних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планів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фінансуються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обласних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бюджетів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їх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засновники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щороку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формують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регіональне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замовлення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для потреб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областей (пункт 17 Порядку).</w:t>
      </w:r>
    </w:p>
    <w:p w14:paraId="55B204F6" w14:textId="77777777" w:rsidR="00D52857" w:rsidRPr="00B20329" w:rsidRDefault="00D52857" w:rsidP="00B2032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Пропозиції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29754642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lastRenderedPageBreak/>
        <w:t>Після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затвердження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кошторису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уповноважені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ним особи)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невідкладно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оприлюднюють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загальний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передбачений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право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рахунок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державного та /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місцевого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бюджетів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рахунок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передбачених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кошторисі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17 Порядку).</w:t>
      </w:r>
    </w:p>
    <w:p w14:paraId="1315133E" w14:textId="6D301D20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Отримавши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кожен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право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рахунок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зазначених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упродовж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наступних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15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календарних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днів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подає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керівникові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уповноваженій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ним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особі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пропозицію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плану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яка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тему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найменування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обраної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(курсу,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лекції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модуля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тощо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тривалість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вартість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безоплатний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характер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освітньої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17 Порядку).</w:t>
      </w:r>
    </w:p>
    <w:p w14:paraId="2A8FED05" w14:textId="657B760C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рада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розглядає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пропозиції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затверджує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план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 межах</w:t>
      </w:r>
      <w:proofErr w:type="gram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затверджених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кошторисі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всіма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джерелами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надходжень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(за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винятком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самостійного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фінансування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науково-педагогічними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працівниками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(пункт 18 Порядку).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Докладно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те, яка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повинна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міститися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плані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 </w:t>
      </w:r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–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 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пункті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19 Порядку.</w:t>
      </w:r>
    </w:p>
    <w:p w14:paraId="6E8494D5" w14:textId="77777777" w:rsidR="00D52857" w:rsidRPr="00B20329" w:rsidRDefault="00D52857" w:rsidP="00B2032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Укладення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договору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закладом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6F4E9C2C" w14:textId="3355E996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підставі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плану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уповноважена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ним особа)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укладає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між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закладом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суб’єктом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суб’єктами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договір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освітніх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20 Порядку).</w:t>
      </w:r>
    </w:p>
    <w:p w14:paraId="35CA3A4C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пізніше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25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грудня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повинен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поінформувати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керівника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уповноважену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ним особу про стан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ним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поточному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році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додаванням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копій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отриманих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документів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зберігається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особовій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справі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законодавства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3A20783B" w14:textId="77777777" w:rsid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both"/>
        <w:outlineLvl w:val="1"/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val="uk-UA" w:eastAsia="ru-UA"/>
        </w:rPr>
      </w:pPr>
      <w:r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val="uk-UA" w:eastAsia="ru-UA"/>
        </w:rPr>
        <w:t xml:space="preserve">                     </w:t>
      </w:r>
    </w:p>
    <w:p w14:paraId="2A2B4842" w14:textId="266D1449" w:rsidR="00D52857" w:rsidRP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UA"/>
        </w:rPr>
      </w:pPr>
      <w:r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val="uk-UA" w:eastAsia="ru-UA"/>
        </w:rPr>
        <w:t xml:space="preserve">                            </w:t>
      </w:r>
      <w:proofErr w:type="spellStart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Програма</w:t>
      </w:r>
      <w:proofErr w:type="spellEnd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597FCCDD" w14:textId="67A16C2C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Суб’єктом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бути заклад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його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структурний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підрозділ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наукова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установа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юридична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фізична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особа,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lastRenderedPageBreak/>
        <w:t>фізична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особа-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підприємець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яка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здійснює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діяльність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сфері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9 Порядку).</w:t>
      </w:r>
    </w:p>
    <w:p w14:paraId="16E31FAA" w14:textId="40D836D1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затверджує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й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педагогічному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працівникові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зобов’язані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оприлюднювати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кожну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власну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своїх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вебсайтах (пункт 10 Порядку).</w:t>
      </w:r>
    </w:p>
    <w:p w14:paraId="22428D62" w14:textId="6EE04993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повинна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її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розробника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розробників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найменування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мету,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зміст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тривалість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встановлюється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годинах та /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кредитах ЄКТС, форму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перелік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компетентностей,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вдосконалюватимуться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/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набуватимуться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загальні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фахові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тощо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) (пункт 10 Порядку).</w:t>
      </w:r>
    </w:p>
    <w:p w14:paraId="6E36AD29" w14:textId="3DFE63B7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Окрім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цієї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обов’язкової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й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докладніше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 </w:t>
      </w:r>
      <w:r w:rsidR="00D52857"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–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 в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пункті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10 Порядку. Тому коли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знаходите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сайті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курси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обов’язково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перевірте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описі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курсу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вказана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ній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зазначена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429DDF74" w14:textId="5F89DA38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тривалість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визначається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її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фактичної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тривалості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годинах без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урахування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позааудиторної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роботи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кредитах ЄКТС з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урахуванням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позааудиторної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роботи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10 Порядку).</w:t>
      </w:r>
    </w:p>
    <w:p w14:paraId="07B1F250" w14:textId="77777777" w:rsid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both"/>
        <w:outlineLvl w:val="1"/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eastAsia="ru-UA"/>
        </w:rPr>
      </w:pPr>
    </w:p>
    <w:p w14:paraId="3D922BCC" w14:textId="50A98B7A" w:rsidR="00D52857" w:rsidRDefault="00D52857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</w:pPr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Яким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має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бути документ про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1358ABCD" w14:textId="77777777" w:rsidR="00B20329" w:rsidRP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8"/>
          <w:lang w:eastAsia="ru-UA"/>
        </w:rPr>
      </w:pPr>
    </w:p>
    <w:p w14:paraId="2BA715F7" w14:textId="7ECA3317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Документом,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засвідчує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успішне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проходження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бути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сертифікат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свідоцтво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документи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44026AF0" w14:textId="3926344E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виокремити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три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основні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документа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він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бути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суб’єктом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повну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Порядку, та бути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спеціальному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реєстрі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2BCD5A99" w14:textId="730AB71A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нових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документі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обов’язково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зазначається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наступна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:</w:t>
      </w:r>
    </w:p>
    <w:p w14:paraId="00195828" w14:textId="77777777" w:rsidR="00D52857" w:rsidRPr="00B20329" w:rsidRDefault="00D52857" w:rsidP="00B2032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повне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найменування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(для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юридичних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осіб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прізвище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ім’я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по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батькові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разі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наявності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фізичної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особи, яка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працівникам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(для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фізичних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осіб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у тому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числі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фізичних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осіб-підприємців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);</w:t>
      </w:r>
    </w:p>
    <w:p w14:paraId="6757AF53" w14:textId="77777777" w:rsidR="00D52857" w:rsidRPr="00B20329" w:rsidRDefault="00D52857" w:rsidP="00B2032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тема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найменування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 годинах</w:t>
      </w:r>
      <w:proofErr w:type="gram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/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кредитах ЄКТС;</w:t>
      </w:r>
    </w:p>
    <w:p w14:paraId="29EDF738" w14:textId="77777777" w:rsidR="00D52857" w:rsidRPr="00B20329" w:rsidRDefault="00D52857" w:rsidP="00B2032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прізвище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ім’я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по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батькові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є) особи, яка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підвищила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;</w:t>
      </w:r>
    </w:p>
    <w:p w14:paraId="2931EE52" w14:textId="77777777" w:rsidR="00D52857" w:rsidRPr="00B20329" w:rsidRDefault="00D52857" w:rsidP="00B2032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lastRenderedPageBreak/>
        <w:t>опис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досягнутих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результатів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навчання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;</w:t>
      </w:r>
    </w:p>
    <w:p w14:paraId="7B90847F" w14:textId="77777777" w:rsidR="00D52857" w:rsidRPr="00B20329" w:rsidRDefault="00D52857" w:rsidP="00B2032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дата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видачі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обліковий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запис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документа;</w:t>
      </w:r>
    </w:p>
    <w:p w14:paraId="7237EBA1" w14:textId="77777777" w:rsidR="00D52857" w:rsidRPr="00B20329" w:rsidRDefault="00D52857" w:rsidP="00B2032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найменування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посади (у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разі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наявності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прізвище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ініціали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особи, яка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підписала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імені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її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підпис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6657641D" w14:textId="64313003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Технічний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опис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дизайн,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спосіб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виготовлення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порядок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видачі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обліку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документа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сам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13 Порядку).</w:t>
      </w:r>
    </w:p>
    <w:p w14:paraId="41A8AAA4" w14:textId="11F4147B" w:rsidR="00D52857" w:rsidRPr="00B20329" w:rsidRDefault="00B20329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Також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створюється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спеціальний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реєстр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документів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дозволяє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атестаційній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комісії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перевірити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справді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педагог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пройшов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таке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навчання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є документ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дійсним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Тобто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після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того, як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учителю документ,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він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оприлюднити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його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реєстрі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своєму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сайті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упродовж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15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календарних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днів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після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видачі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реєстрі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 про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повинен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містити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інформацію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:</w:t>
      </w:r>
    </w:p>
    <w:p w14:paraId="7EA723F3" w14:textId="77777777" w:rsidR="00D52857" w:rsidRPr="00B20329" w:rsidRDefault="00D52857" w:rsidP="00B2032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прізвище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ініціали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пройшов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;</w:t>
      </w:r>
    </w:p>
    <w:p w14:paraId="6D1B2154" w14:textId="77777777" w:rsidR="00D52857" w:rsidRPr="00B20329" w:rsidRDefault="00D52857" w:rsidP="00B2032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форму, вид, тему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найменування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його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gram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 годинах</w:t>
      </w:r>
      <w:proofErr w:type="gram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кредитах ЄКТС;</w:t>
      </w:r>
    </w:p>
    <w:p w14:paraId="44DA7DB0" w14:textId="77777777" w:rsidR="00D52857" w:rsidRPr="00B20329" w:rsidRDefault="00D52857" w:rsidP="00B2032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дату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видачі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обліковий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запис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документа про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(пункт 13 Порядку).</w:t>
      </w:r>
    </w:p>
    <w:p w14:paraId="4DAA8F7C" w14:textId="77777777" w:rsid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eastAsia="ru-UA"/>
        </w:rPr>
      </w:pPr>
    </w:p>
    <w:p w14:paraId="0D14B19E" w14:textId="5BC2725F" w:rsidR="00D52857" w:rsidRPr="00B20329" w:rsidRDefault="00D52857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Проблеми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кваліфікації</w:t>
      </w:r>
      <w:proofErr w:type="spellEnd"/>
    </w:p>
    <w:p w14:paraId="6DEEA45B" w14:textId="77777777" w:rsidR="00D52857" w:rsidRPr="00B20329" w:rsidRDefault="00D52857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1.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Неоднакові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77242C78" w14:textId="77777777" w:rsidR="00D52857" w:rsidRPr="00B20329" w:rsidRDefault="00D52857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2.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зазначають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багатьох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випадках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предмет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досить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часто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зумовлює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проблеми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зарахуванні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сертифікату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41CAE9B6" w14:textId="77777777" w:rsidR="00D52857" w:rsidRPr="00B20329" w:rsidRDefault="00D52857" w:rsidP="00B203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3.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Механізм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фінансування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приватними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суб’єктами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законодавчо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врегульовано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але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насправді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він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функціонує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не є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ефективним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Адже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через те,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процедура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працівниками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ускладнена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вона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працює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належним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чином та не є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гарантією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компенсації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Тому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частина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змушені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керівництва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власним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коштом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як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раніше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в ІППО.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на думку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освітнього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омбудсмена,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суттєво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обмежує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права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2074B72C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lastRenderedPageBreak/>
        <w:t xml:space="preserve">До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освітнього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омбудсмена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зверталися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відмови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компенсації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курсів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власним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коштом в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пояснюючи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механізму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компенсації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немає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тому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було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виділено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38A3D479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4.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здійснюють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приватні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освітньої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встановлюють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свої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різні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ціни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виникає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проблема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процедури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законності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використання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бюджетних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оплату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курсів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001AF65C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5.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бути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повністю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впевнений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обраний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якісні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кошти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будуть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виділені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належним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чином.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сама проблема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торкнутися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питання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зарахування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сертифікатів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2569D714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6.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Частина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керівників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неправомірно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вимагають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визначену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кількість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годин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наприклад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30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щороку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Однак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такого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обмеження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немає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право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розподіляти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150 годин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п’ять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із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запровадженням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карантинних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обмежень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змушені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курси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дистанційній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зумовило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надмірну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витрату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позаробочого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часу через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поєднання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проведення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уроків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із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використанням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дистанційних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технологій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проходженням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курсів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686CE1D2" w14:textId="669DCCA3" w:rsidR="00D52857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       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вас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виникають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проблеми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тут не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зазначені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Служба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освітнього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омбудсмена просить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надіслати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їх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опис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електронну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пошту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media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@eo.gov.ua.</w:t>
      </w:r>
    </w:p>
    <w:p w14:paraId="4EC07436" w14:textId="77777777" w:rsidR="00B20329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</w:p>
    <w:p w14:paraId="34202F6C" w14:textId="1A5F1B1B" w:rsidR="00D52857" w:rsidRPr="00B20329" w:rsidRDefault="00B20329" w:rsidP="00B20329">
      <w:pPr>
        <w:pBdr>
          <w:bottom w:val="single" w:sz="6" w:space="0" w:color="F06E0F"/>
        </w:pBdr>
        <w:shd w:val="clear" w:color="auto" w:fill="FFFFFF"/>
        <w:spacing w:after="0"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UA"/>
        </w:rPr>
      </w:pPr>
      <w:r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val="uk-UA" w:eastAsia="ru-UA"/>
        </w:rPr>
        <w:t xml:space="preserve">                              </w:t>
      </w:r>
      <w:proofErr w:type="spellStart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Пропозиції</w:t>
      </w:r>
      <w:proofErr w:type="spellEnd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щодо</w:t>
      </w:r>
      <w:proofErr w:type="spellEnd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>вирішення</w:t>
      </w:r>
      <w:proofErr w:type="spellEnd"/>
      <w:r w:rsidR="00D52857" w:rsidRPr="00B20329">
        <w:rPr>
          <w:rFonts w:eastAsia="Times New Roman" w:cs="Times New Roman"/>
          <w:b/>
          <w:bCs/>
          <w:szCs w:val="28"/>
          <w:bdr w:val="none" w:sz="0" w:space="0" w:color="auto" w:frame="1"/>
          <w:lang w:eastAsia="ru-UA"/>
        </w:rPr>
        <w:t xml:space="preserve"> проблем</w:t>
      </w:r>
    </w:p>
    <w:p w14:paraId="51C81EEB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Описані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вище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проблеми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частково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вже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знаходять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своє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вирішення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через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нормативне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регулювання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Зокрема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27.12.2019 р.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час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засідання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Кабінету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Міністрів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було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прийнято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зміни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Порядку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науково-педагогічних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055711AA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Зокрема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виключено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необхідність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створювати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додатково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документ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самооцінювання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знято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централізованого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оприлюднення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Також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уточнено структуру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програми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етапи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планування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документі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визначено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завдання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основні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форми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особливості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науково-педагогічних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різних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типів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механізми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результатів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784D56A2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lastRenderedPageBreak/>
        <w:t>Також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шляхом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вирішення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проблеми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встановлення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неоднакових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може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стати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встановлення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інших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послуг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юридичної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фізичної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особи, у тому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числі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фізичної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особи-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підприємця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провадить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освітню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діяльність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сфері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/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або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науково-педагогічних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4A0187AD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Щоб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вирішити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проблему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фінансування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яку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здійснюють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приватні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потрібно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розробити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чіткий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механізм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фінансування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цього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процесу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37BED762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З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огляду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відсутність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встановлених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законодавством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норм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щорічного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необхідного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проходження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чергової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МОН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рекомендувало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атестаційним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комісіям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починаючи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із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2020 року,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встановити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мінімальні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кількості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годин)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закладів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загальної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середньої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професійної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професійно-технічної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фахової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передвищої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саме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:</w:t>
      </w:r>
    </w:p>
    <w:p w14:paraId="2F5994C8" w14:textId="77777777" w:rsidR="00D52857" w:rsidRPr="00B20329" w:rsidRDefault="00D52857" w:rsidP="00B20329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30 годин,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завершення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припадає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2020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;</w:t>
      </w:r>
    </w:p>
    <w:p w14:paraId="1AAD8FC1" w14:textId="77777777" w:rsidR="00D52857" w:rsidRPr="00B20329" w:rsidRDefault="00D52857" w:rsidP="00B20329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60 годин,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завершення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припадає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2021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;</w:t>
      </w:r>
    </w:p>
    <w:p w14:paraId="0F70A374" w14:textId="77777777" w:rsidR="00D52857" w:rsidRPr="00B20329" w:rsidRDefault="00D52857" w:rsidP="00B20329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90 годин,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завершення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припадає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2022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рік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;</w:t>
      </w:r>
    </w:p>
    <w:p w14:paraId="6F3B3F6D" w14:textId="77777777" w:rsidR="00D52857" w:rsidRPr="00B20329" w:rsidRDefault="00D52857" w:rsidP="00B20329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150 годин,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завершення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атестації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припадає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на 2023-й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наступні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роки.</w:t>
      </w:r>
    </w:p>
    <w:p w14:paraId="4EFD31D5" w14:textId="66B73B9B" w:rsidR="00D52857" w:rsidRPr="00B20329" w:rsidRDefault="00B20329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UA"/>
        </w:rPr>
        <w:t xml:space="preserve">    </w:t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Таким чином,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Міністерство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науки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надало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 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D52857" w:rsidRPr="00B20329">
        <w:rPr>
          <w:rFonts w:eastAsia="Times New Roman" w:cs="Times New Roman"/>
          <w:color w:val="000000"/>
          <w:szCs w:val="28"/>
          <w:lang w:eastAsia="ru-UA"/>
        </w:rPr>
        <w:instrText xml:space="preserve"> HYPERLINK "https://osvita.ua/legislation/Ser_osv/66556/" </w:instrText>
      </w:r>
      <w:r w:rsidR="00D52857" w:rsidRPr="00B20329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D52857" w:rsidRPr="00B20329">
        <w:rPr>
          <w:rFonts w:eastAsia="Times New Roman" w:cs="Times New Roman"/>
          <w:color w:val="8C8282"/>
          <w:szCs w:val="28"/>
          <w:bdr w:val="none" w:sz="0" w:space="0" w:color="auto" w:frame="1"/>
          <w:lang w:eastAsia="ru-UA"/>
        </w:rPr>
        <w:t>роз’яснення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суть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полягає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тому,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визначає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щорічний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кількість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годин)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Жодних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вимог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встановленого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щорічного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годин у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відповідному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плані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не </w:t>
      </w:r>
      <w:proofErr w:type="spellStart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існує</w:t>
      </w:r>
      <w:proofErr w:type="spellEnd"/>
      <w:r w:rsidR="00D52857"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626D8E52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годин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здійснюється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накопичувальною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системою.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визначається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 кредитах</w:t>
      </w:r>
      <w:proofErr w:type="gram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Європейської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кредитної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трансферно-накопичувальної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системи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то 1 кредит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дорівнює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30 годинам.</w:t>
      </w:r>
    </w:p>
    <w:p w14:paraId="1FF9C6BE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Тому,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якщо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дотримано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всіх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норм закону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між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закладом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й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суб’єктом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було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укладено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договір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виданий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сертифікат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відповідає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нормам пункту 13 Порядку, не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визнавати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такий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сертифікат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є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порушенням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чинного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законодавства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4C4A3087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які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викладають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кілька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предметів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то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відповідно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до пункту</w:t>
      </w:r>
      <w:proofErr w:type="gram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15 Порядку, у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разі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викладання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кількох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навчальних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предметів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дисциплін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педагогічні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науково-педагогічні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працівники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самостійно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обирають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послідовність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певними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напрямами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lastRenderedPageBreak/>
        <w:t>міжатестаційний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період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у межах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загального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обсягу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тривалості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)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підвищення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кваліфікації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визначеного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законодавством</w:t>
      </w:r>
      <w:proofErr w:type="spellEnd"/>
      <w:r w:rsidRPr="00B20329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.</w:t>
      </w:r>
    </w:p>
    <w:p w14:paraId="55348C26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За </w:t>
      </w:r>
      <w:proofErr w:type="spellStart"/>
      <w:r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матеріалами</w:t>
      </w:r>
      <w:proofErr w:type="spellEnd"/>
      <w:r w:rsidRPr="00B2032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 </w:t>
      </w:r>
      <w:proofErr w:type="spellStart"/>
      <w:r w:rsidRPr="00B20329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Pr="00B20329">
        <w:rPr>
          <w:rFonts w:eastAsia="Times New Roman" w:cs="Times New Roman"/>
          <w:color w:val="000000"/>
          <w:szCs w:val="28"/>
          <w:lang w:eastAsia="ru-UA"/>
        </w:rPr>
        <w:instrText xml:space="preserve"> HYPERLINK "https://eo.gov.ua/shcho-potribno-znaty-pedahohu-pro-pidvyshchennia-kvalifikatsii/?fbclid=IwAR00B6Xu8r8hE4QMdYs7t4FwPqO_l7VZ90AUpGBwYSbDdVJtbwcITieMEPE" </w:instrText>
      </w:r>
      <w:r w:rsidRPr="00B20329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>Служби</w:t>
      </w:r>
      <w:proofErr w:type="spellEnd"/>
      <w:r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>освітнього</w:t>
      </w:r>
      <w:proofErr w:type="spellEnd"/>
      <w:r w:rsidRPr="00B20329">
        <w:rPr>
          <w:rFonts w:eastAsia="Times New Roman" w:cs="Times New Roman"/>
          <w:i/>
          <w:iCs/>
          <w:color w:val="8C8282"/>
          <w:szCs w:val="28"/>
          <w:bdr w:val="none" w:sz="0" w:space="0" w:color="auto" w:frame="1"/>
          <w:lang w:eastAsia="ru-UA"/>
        </w:rPr>
        <w:t xml:space="preserve"> омбудсмена.</w:t>
      </w:r>
      <w:r w:rsidRPr="00B20329">
        <w:rPr>
          <w:rFonts w:eastAsia="Times New Roman" w:cs="Times New Roman"/>
          <w:color w:val="000000"/>
          <w:szCs w:val="28"/>
          <w:lang w:eastAsia="ru-UA"/>
        </w:rPr>
        <w:fldChar w:fldCharType="end"/>
      </w:r>
    </w:p>
    <w:p w14:paraId="6634C7AE" w14:textId="5CFFDD1F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</w:p>
    <w:p w14:paraId="11DD5400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FFFFFF"/>
          <w:szCs w:val="28"/>
          <w:bdr w:val="none" w:sz="0" w:space="0" w:color="auto" w:frame="1"/>
          <w:lang w:eastAsia="ru-UA"/>
        </w:rPr>
      </w:pPr>
      <w:r w:rsidRPr="00B20329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Pr="00B20329">
        <w:rPr>
          <w:rFonts w:eastAsia="Times New Roman" w:cs="Times New Roman"/>
          <w:color w:val="000000"/>
          <w:szCs w:val="28"/>
          <w:lang w:eastAsia="ru-UA"/>
        </w:rPr>
        <w:instrText xml:space="preserve"> HYPERLINK "https://telegram.me/share/url?url=https://osvita.ua/school/82739/&amp;title=%D0%9F%D1%96%D0%B4%D0%B2%D0%B8%D1%89%D0%B5%D0%BD%D0%BD%D1%8F%20%D0%BA%D0%B2%D0%B0%D0%BB%D1%96%D1%84%D1%96%D0%BA%D0%B0%D1%86%D1%96%D1%97:%20%D1%89%D0%BE%20%D0%BF%D0%BE%D1%82%D1%80%D1%96%D0%B1%D0%BD%D0%BE%20%D0%B7%D0%BD%D0%B0%D1%82%D0%B8%20%D0%BF%D0%B5%D0%B4%D0%B0%D0%B3%D0%BE%D0%B3%D1%83%20%E2%80%93%20%D0%9E%D1%81%D0%B2%D1%96%D1%82%D0%B0.UA" \o "Поділитися посиланням у Telegram" \t "_blank" </w:instrText>
      </w:r>
      <w:r w:rsidRPr="00B20329">
        <w:rPr>
          <w:rFonts w:eastAsia="Times New Roman" w:cs="Times New Roman"/>
          <w:color w:val="000000"/>
          <w:szCs w:val="28"/>
          <w:lang w:eastAsia="ru-UA"/>
        </w:rPr>
        <w:fldChar w:fldCharType="separate"/>
      </w:r>
    </w:p>
    <w:p w14:paraId="72EC4C27" w14:textId="77777777" w:rsidR="00D52857" w:rsidRPr="00B20329" w:rsidRDefault="00D52857" w:rsidP="00B203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B20329">
        <w:rPr>
          <w:rFonts w:eastAsia="Times New Roman" w:cs="Times New Roman"/>
          <w:color w:val="000000"/>
          <w:szCs w:val="28"/>
          <w:lang w:eastAsia="ru-UA"/>
        </w:rPr>
        <w:fldChar w:fldCharType="end"/>
      </w:r>
    </w:p>
    <w:p w14:paraId="6E32714C" w14:textId="77777777" w:rsidR="00D52857" w:rsidRPr="00B20329" w:rsidRDefault="00B20329" w:rsidP="00B20329">
      <w:pPr>
        <w:shd w:val="clear" w:color="auto" w:fill="FFFFFF"/>
        <w:spacing w:after="0" w:line="276" w:lineRule="auto"/>
        <w:ind w:right="-750"/>
        <w:jc w:val="both"/>
        <w:rPr>
          <w:rFonts w:eastAsia="Times New Roman" w:cs="Times New Roman"/>
          <w:color w:val="999999"/>
          <w:szCs w:val="28"/>
          <w:lang w:eastAsia="ru-UA"/>
        </w:rPr>
      </w:pPr>
      <w:hyperlink r:id="rId6" w:tooltip="osvita.ua" w:history="1">
        <w:r w:rsidR="00D52857" w:rsidRPr="00B20329">
          <w:rPr>
            <w:rFonts w:eastAsia="Times New Roman" w:cs="Times New Roman"/>
            <w:color w:val="999999"/>
            <w:szCs w:val="28"/>
            <w:bdr w:val="none" w:sz="0" w:space="0" w:color="auto" w:frame="1"/>
            <w:lang w:eastAsia="ru-UA"/>
          </w:rPr>
          <w:t>Освіта.ua</w:t>
        </w:r>
      </w:hyperlink>
      <w:r w:rsidR="00D52857" w:rsidRPr="00B20329">
        <w:rPr>
          <w:rFonts w:eastAsia="Times New Roman" w:cs="Times New Roman"/>
          <w:color w:val="999999"/>
          <w:szCs w:val="28"/>
          <w:lang w:eastAsia="ru-UA"/>
        </w:rPr>
        <w:br/>
        <w:t>03.06.2021</w:t>
      </w:r>
    </w:p>
    <w:p w14:paraId="5E058CB0" w14:textId="77777777" w:rsidR="008F40B1" w:rsidRPr="00B20329" w:rsidRDefault="008F40B1" w:rsidP="00B20329">
      <w:pPr>
        <w:spacing w:line="276" w:lineRule="auto"/>
        <w:jc w:val="both"/>
        <w:rPr>
          <w:rFonts w:cs="Times New Roman"/>
          <w:szCs w:val="28"/>
        </w:rPr>
      </w:pPr>
    </w:p>
    <w:sectPr w:rsidR="008F40B1" w:rsidRPr="00B20329" w:rsidSect="00B20329">
      <w:pgSz w:w="11906" w:h="16838"/>
      <w:pgMar w:top="1276" w:right="70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DAE"/>
    <w:multiLevelType w:val="multilevel"/>
    <w:tmpl w:val="F19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4C3A"/>
    <w:multiLevelType w:val="multilevel"/>
    <w:tmpl w:val="1AC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057D3"/>
    <w:multiLevelType w:val="multilevel"/>
    <w:tmpl w:val="FCF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B6D84"/>
    <w:multiLevelType w:val="multilevel"/>
    <w:tmpl w:val="5C2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F7055"/>
    <w:multiLevelType w:val="multilevel"/>
    <w:tmpl w:val="928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A5147"/>
    <w:multiLevelType w:val="multilevel"/>
    <w:tmpl w:val="BE6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DB"/>
    <w:rsid w:val="008F40B1"/>
    <w:rsid w:val="00B20329"/>
    <w:rsid w:val="00B3588E"/>
    <w:rsid w:val="00D52857"/>
    <w:rsid w:val="00F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389"/>
  <w15:chartTrackingRefBased/>
  <w15:docId w15:val="{F045354D-2BAF-4ACB-855B-48C9CCE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72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" TargetMode="External"/><Relationship Id="rId5" Type="http://schemas.openxmlformats.org/officeDocument/2006/relationships/hyperlink" Target="https://www.bing.com/search?FORM=SWBW15&amp;q=%D0%9F%D0%BE%D1%80%D1%8F%D0%B4%D0%BA%D0%BE%D0%BC%20%D0%BF%D1%96%D0%B4%D0%B2%D0%B8%D1%89%D0%B5%D0%BD%D0%BD%D1%8F%20%D0%BA%D0%B2%D0%B0%D0%BB%D1%96%D1%84%D1%96%D0%BA%D0%B0%D1%86%D1%96%D1%97%20%D0%BF%D0%B5%D0%B4%D0%B0%D0%B3%D0%BE%D0%B3%D1%96%D1%87%D0%BD%D0%B8%D1%85%20%D1%96%20%D0%BD%D0%B0%D1%83%D0%BA%D0%BE%D0%B2%D0%BE-%D0%BF%D0%B5%D0%B4%D0%B0%D0%B3%D0%BE%D0%B3%D1%96%D1%87%D0%BD%D0%B8%D1%85%20%D0%BF%D1%80%D0%B0%D1%86%D1%96%D0%B2%D0%BD%D0%B8%D0%BA%D1%96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2021-06-11T06:45:00Z</dcterms:created>
  <dcterms:modified xsi:type="dcterms:W3CDTF">2021-06-11T06:54:00Z</dcterms:modified>
</cp:coreProperties>
</file>